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5DAF" w14:textId="261B2645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tbl>
      <w:tblPr>
        <w:tblW w:w="5064" w:type="pct"/>
        <w:tblCellSpacing w:w="15" w:type="dxa"/>
        <w:tblBorders>
          <w:top w:val="single" w:sz="18" w:space="0" w:color="00416A"/>
          <w:left w:val="single" w:sz="18" w:space="0" w:color="00416A"/>
          <w:bottom w:val="single" w:sz="18" w:space="0" w:color="00416A"/>
          <w:right w:val="single" w:sz="18" w:space="0" w:color="00416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284"/>
      </w:tblGrid>
      <w:tr w:rsidR="00390188" w:rsidRPr="00390188" w14:paraId="3F933802" w14:textId="77777777" w:rsidTr="00390188">
        <w:trPr>
          <w:tblCellSpacing w:w="15" w:type="dxa"/>
        </w:trPr>
        <w:tc>
          <w:tcPr>
            <w:tcW w:w="1536" w:type="pct"/>
            <w:vAlign w:val="center"/>
            <w:hideMark/>
          </w:tcPr>
          <w:p w14:paraId="3E90E0C2" w14:textId="77737E9E" w:rsidR="00390188" w:rsidRPr="00390188" w:rsidRDefault="00390188" w:rsidP="0039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901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 wp14:anchorId="1DBDAD45" wp14:editId="4E67995E">
                  <wp:extent cx="1638300" cy="2374900"/>
                  <wp:effectExtent l="0" t="0" r="0" b="6350"/>
                  <wp:docPr id="1" name="Obrázek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pct"/>
            <w:vAlign w:val="center"/>
            <w:hideMark/>
          </w:tcPr>
          <w:p w14:paraId="570B58AD" w14:textId="77777777" w:rsidR="00390188" w:rsidRPr="00390188" w:rsidRDefault="00390188" w:rsidP="0039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90188">
              <w:rPr>
                <w:rFonts w:ascii="Georgia" w:eastAsia="Times New Roman" w:hAnsi="Georgia" w:cs="Times New Roman"/>
                <w:sz w:val="54"/>
                <w:szCs w:val="54"/>
                <w:lang w:val="cs-CZ" w:eastAsia="cs-CZ"/>
              </w:rPr>
              <w:t>POLICY•BRIEF</w:t>
            </w:r>
          </w:p>
          <w:p w14:paraId="6955DBC2" w14:textId="77777777" w:rsidR="00390188" w:rsidRPr="00390188" w:rsidRDefault="00390188" w:rsidP="0039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901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14:paraId="1DDC856F" w14:textId="77777777" w:rsidR="00390188" w:rsidRPr="00390188" w:rsidRDefault="00390188" w:rsidP="0039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901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14:paraId="2FF7B2A4" w14:textId="77777777" w:rsidR="00390188" w:rsidRPr="00390188" w:rsidRDefault="00390188" w:rsidP="0039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Prepared</w:t>
            </w:r>
            <w:proofErr w:type="spellEnd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 xml:space="preserve"> by </w:t>
            </w:r>
            <w:proofErr w:type="spellStart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the</w:t>
            </w:r>
            <w:proofErr w:type="spellEnd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 xml:space="preserve"> </w:t>
            </w:r>
            <w:proofErr w:type="spellStart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European</w:t>
            </w:r>
            <w:proofErr w:type="spellEnd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 xml:space="preserve"> Institute </w:t>
            </w:r>
            <w:proofErr w:type="spellStart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of</w:t>
            </w:r>
            <w:proofErr w:type="spellEnd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 xml:space="preserve"> </w:t>
            </w:r>
            <w:proofErr w:type="spellStart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Women's</w:t>
            </w:r>
            <w:proofErr w:type="spellEnd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 xml:space="preserve"> </w:t>
            </w:r>
            <w:proofErr w:type="spellStart"/>
            <w:r w:rsidRPr="00390188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Health</w:t>
            </w:r>
            <w:proofErr w:type="spellEnd"/>
          </w:p>
          <w:p w14:paraId="4C8D03B6" w14:textId="77777777" w:rsidR="00390188" w:rsidRPr="00390188" w:rsidRDefault="00390188" w:rsidP="0039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901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14:paraId="58D4378E" w14:textId="77777777" w:rsidR="00390188" w:rsidRPr="00390188" w:rsidRDefault="00390188" w:rsidP="0039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390188">
              <w:rPr>
                <w:rFonts w:ascii="Georgia" w:eastAsia="Times New Roman" w:hAnsi="Georgia" w:cs="Times New Roman"/>
                <w:b/>
                <w:bCs/>
                <w:color w:val="333993"/>
                <w:sz w:val="36"/>
                <w:szCs w:val="36"/>
                <w:lang w:val="cs-CZ" w:eastAsia="cs-CZ"/>
              </w:rPr>
              <w:t>Women</w:t>
            </w:r>
            <w:proofErr w:type="spellEnd"/>
            <w:r w:rsidRPr="00390188">
              <w:rPr>
                <w:rFonts w:ascii="Georgia" w:eastAsia="Times New Roman" w:hAnsi="Georgia" w:cs="Times New Roman"/>
                <w:b/>
                <w:bCs/>
                <w:color w:val="333993"/>
                <w:sz w:val="36"/>
                <w:szCs w:val="36"/>
                <w:lang w:val="cs-CZ" w:eastAsia="cs-CZ"/>
              </w:rPr>
              <w:t xml:space="preserve"> and </w:t>
            </w:r>
            <w:proofErr w:type="spellStart"/>
            <w:r w:rsidRPr="00390188">
              <w:rPr>
                <w:rFonts w:ascii="Georgia" w:eastAsia="Times New Roman" w:hAnsi="Georgia" w:cs="Times New Roman"/>
                <w:b/>
                <w:bCs/>
                <w:color w:val="333993"/>
                <w:sz w:val="36"/>
                <w:szCs w:val="36"/>
                <w:lang w:val="cs-CZ" w:eastAsia="cs-CZ"/>
              </w:rPr>
              <w:t>Menstruation</w:t>
            </w:r>
            <w:proofErr w:type="spellEnd"/>
            <w:r w:rsidRPr="00390188">
              <w:rPr>
                <w:rFonts w:ascii="Georgia" w:eastAsia="Times New Roman" w:hAnsi="Georgia" w:cs="Times New Roman"/>
                <w:b/>
                <w:bCs/>
                <w:color w:val="333993"/>
                <w:sz w:val="36"/>
                <w:szCs w:val="36"/>
                <w:lang w:val="cs-CZ" w:eastAsia="cs-CZ"/>
              </w:rPr>
              <w:t xml:space="preserve"> in EU</w:t>
            </w:r>
          </w:p>
          <w:p w14:paraId="606425A4" w14:textId="77777777" w:rsidR="00390188" w:rsidRPr="00390188" w:rsidRDefault="00390188" w:rsidP="0039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3901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14:paraId="7D04E35C" w14:textId="77777777" w:rsidR="00390188" w:rsidRPr="00390188" w:rsidRDefault="00390188" w:rsidP="0039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3901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Download</w:t>
            </w:r>
            <w:proofErr w:type="spellEnd"/>
            <w:r w:rsidRPr="003901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as .doc | </w:t>
            </w:r>
            <w:hyperlink r:id="rId6" w:history="1">
              <w:r w:rsidRPr="003901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 w:eastAsia="cs-CZ"/>
                </w:rPr>
                <w:t>.</w:t>
              </w:r>
              <w:proofErr w:type="spellStart"/>
              <w:r w:rsidRPr="003901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cs-CZ" w:eastAsia="cs-CZ"/>
                </w:rPr>
                <w:t>pdf</w:t>
              </w:r>
              <w:proofErr w:type="spellEnd"/>
            </w:hyperlink>
            <w:r w:rsidRPr="00390188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| ***</w:t>
            </w:r>
          </w:p>
        </w:tc>
      </w:tr>
    </w:tbl>
    <w:p w14:paraId="0DD87AAC" w14:textId="77777777" w:rsidR="00390188" w:rsidRPr="00390188" w:rsidRDefault="00390188" w:rsidP="003901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3901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 </w:t>
      </w:r>
    </w:p>
    <w:p w14:paraId="44E6D913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A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personal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issue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with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societal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significance</w:t>
      </w:r>
      <w:proofErr w:type="spellEnd"/>
    </w:p>
    <w:p w14:paraId="67227768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 natural part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lives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signals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good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However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, many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affected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by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symptoms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—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most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common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reasons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seeking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help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.  An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estimated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gram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20%</w:t>
      </w:r>
      <w:proofErr w:type="gram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suffer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severe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enough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interfere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daily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activities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(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),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one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four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experience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bleeding.</w:t>
      </w:r>
      <w:bookmarkStart w:id="0" w:name="_ednref1"/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vertAlign w:val="superscript"/>
          <w:lang w:val="cs-CZ" w:eastAsia="cs-CZ"/>
        </w:rPr>
        <w:instrText xml:space="preserve"> HYPERLINK "" \l "_edn1" </w:instrText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</w:t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vertAlign w:val="superscript"/>
          <w:lang w:val="cs-CZ" w:eastAsia="cs-CZ"/>
        </w:rPr>
        <w:fldChar w:fldCharType="end"/>
      </w:r>
      <w:bookmarkEnd w:id="0"/>
      <w:r w:rsidRPr="00390188">
        <w:rPr>
          <w:rFonts w:ascii="Helvetica" w:eastAsia="Times New Roman" w:hAnsi="Helvetica" w:cs="Helvetica"/>
          <w:b/>
          <w:bCs/>
          <w:sz w:val="30"/>
          <w:szCs w:val="30"/>
          <w:lang w:val="cs-CZ" w:eastAsia="cs-CZ"/>
        </w:rPr>
        <w:t xml:space="preserve"> </w:t>
      </w:r>
      <w:bookmarkStart w:id="1" w:name="_ednref2"/>
      <w:r w:rsidRPr="00390188">
        <w:rPr>
          <w:rFonts w:ascii="Helvetica" w:eastAsia="Times New Roman" w:hAnsi="Helvetica" w:cs="Helvetica"/>
          <w:b/>
          <w:bCs/>
          <w:color w:val="3366FF"/>
          <w:sz w:val="30"/>
          <w:szCs w:val="30"/>
          <w:vertAlign w:val="superscript"/>
          <w:lang w:val="cs-CZ" w:eastAsia="cs-CZ"/>
        </w:rPr>
        <w:fldChar w:fldCharType="begin"/>
      </w:r>
      <w:r w:rsidRPr="00390188">
        <w:rPr>
          <w:rFonts w:ascii="Helvetica" w:eastAsia="Times New Roman" w:hAnsi="Helvetica" w:cs="Helvetica"/>
          <w:b/>
          <w:bCs/>
          <w:color w:val="3366FF"/>
          <w:sz w:val="30"/>
          <w:szCs w:val="30"/>
          <w:vertAlign w:val="superscript"/>
          <w:lang w:val="cs-CZ" w:eastAsia="cs-CZ"/>
        </w:rPr>
        <w:instrText xml:space="preserve"> HYPERLINK "" \l "_edn2" </w:instrText>
      </w:r>
      <w:r w:rsidRPr="00390188">
        <w:rPr>
          <w:rFonts w:ascii="Helvetica" w:eastAsia="Times New Roman" w:hAnsi="Helvetica" w:cs="Helvetica"/>
          <w:b/>
          <w:bCs/>
          <w:color w:val="3366FF"/>
          <w:sz w:val="30"/>
          <w:szCs w:val="30"/>
          <w:vertAlign w:val="superscript"/>
          <w:lang w:val="cs-CZ" w:eastAsia="cs-CZ"/>
        </w:rPr>
        <w:fldChar w:fldCharType="separate"/>
      </w:r>
      <w:r w:rsidRPr="00390188">
        <w:rPr>
          <w:rFonts w:ascii="Helvetica" w:eastAsia="Times New Roman" w:hAnsi="Helvetica" w:cs="Helvetica"/>
          <w:b/>
          <w:bCs/>
          <w:color w:val="3366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</w:t>
      </w:r>
      <w:r w:rsidRPr="00390188">
        <w:rPr>
          <w:rFonts w:ascii="Helvetica" w:eastAsia="Times New Roman" w:hAnsi="Helvetica" w:cs="Helvetica"/>
          <w:b/>
          <w:bCs/>
          <w:color w:val="3366FF"/>
          <w:sz w:val="30"/>
          <w:szCs w:val="30"/>
          <w:vertAlign w:val="superscript"/>
          <w:lang w:val="cs-CZ" w:eastAsia="cs-CZ"/>
        </w:rPr>
        <w:fldChar w:fldCharType="end"/>
      </w:r>
      <w:bookmarkEnd w:id="1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Strategies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used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by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manage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these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conditions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have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societal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well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individual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impacts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, but to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date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matters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have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been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noticeably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absent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from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public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discussion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.</w:t>
      </w:r>
    </w:p>
    <w:p w14:paraId="304BB1E4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The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basics</w:t>
      </w:r>
      <w:proofErr w:type="spellEnd"/>
    </w:p>
    <w:p w14:paraId="62F43AE3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discharge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tissue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occurs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part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woman's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  On</w:t>
      </w:r>
      <w:proofErr w:type="gram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average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lasts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three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days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28-day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varying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length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two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seven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days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21 to 35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days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part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commencing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menarche (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concluding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menopause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directly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130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million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Europe.</w:t>
      </w:r>
      <w:bookmarkStart w:id="2" w:name="_ednref3"/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vertAlign w:val="superscript"/>
          <w:lang w:val="cs-CZ" w:eastAsia="cs-CZ"/>
        </w:rPr>
        <w:instrText xml:space="preserve"> HYPERLINK "" \l "_edn3" </w:instrText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</w:t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vertAlign w:val="superscript"/>
          <w:lang w:val="cs-CZ" w:eastAsia="cs-CZ"/>
        </w:rPr>
        <w:fldChar w:fldCharType="end"/>
      </w:r>
      <w:bookmarkEnd w:id="2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number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increasing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several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early menarche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fewer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spent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pregnant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breastfeeding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4E84061C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average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30-40ml</w:t>
      </w:r>
      <w:proofErr w:type="gram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(HMB)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defined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80ml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per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HMB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caused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clotting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disruption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hormonal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regulation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such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fibroids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polyps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endometriosis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adenomyosis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It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anaemia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fatigue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flow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adolescence,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perimenopause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those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oestrogen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levels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ovulatory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disturbances.</w:t>
      </w:r>
      <w:bookmarkStart w:id="3" w:name="_ednref4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"_edn4"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"/>
    </w:p>
    <w:p w14:paraId="39EB2C60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defined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presence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crampy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pelvic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beginning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shortly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before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onset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lasts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three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days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Primary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(PD)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pelvic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anatomy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amongst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Secondary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associated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underlying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pathology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system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endometriosis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adenomyosis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uterine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fibroids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Risk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associated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PD,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earlier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menarche,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flow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smoking,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family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history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obesity,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consumption.</w:t>
      </w:r>
      <w:bookmarkStart w:id="4" w:name="_ednref5"/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"_edn5" </w:instrText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</w:t>
      </w:r>
      <w:r w:rsidRPr="00390188">
        <w:rPr>
          <w:rFonts w:ascii="Arial" w:eastAsia="Times New Roman" w:hAnsi="Arial" w:cs="Arial"/>
          <w:b/>
          <w:bCs/>
          <w:color w:val="3366FF"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4"/>
    </w:p>
    <w:p w14:paraId="0E122E4D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Impacts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on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daily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activities</w:t>
      </w:r>
      <w:proofErr w:type="spellEnd"/>
    </w:p>
    <w:p w14:paraId="6A870820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a variety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coping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mechanisms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manage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HMB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reducing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restricting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daily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activities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594FB0C1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Severe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significant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academic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employment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participation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show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30-</w:t>
      </w:r>
      <w:proofErr w:type="gram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50%</w:t>
      </w:r>
      <w:proofErr w:type="gram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miss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school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least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PD.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school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attended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presence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concentration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leading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performance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productivity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PD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participation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daily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activities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PD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engage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voluntary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physical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sports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recreational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pursuits.</w:t>
      </w:r>
      <w:bookmarkStart w:id="5" w:name="_ednref6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"_edn6"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5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t xml:space="preserve"> </w:t>
      </w:r>
      <w:bookmarkStart w:id="6" w:name="_ednref7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"_edn7"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7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6"/>
    </w:p>
    <w:p w14:paraId="613CC2FD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similar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restrictions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Fatigue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associated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untreated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prolonged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practical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managing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adversely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activities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sports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participation.</w:t>
      </w:r>
      <w:bookmarkStart w:id="7" w:name="_ednref8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"_edn8"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8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7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t xml:space="preserve"> </w:t>
      </w:r>
      <w:bookmarkStart w:id="8" w:name="_ednref9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"_edn9"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9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8"/>
    </w:p>
    <w:p w14:paraId="73114CCF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look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beyond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single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consider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broader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—severe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HMB has a more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significant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aspects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lives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HMB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alone.</w:t>
      </w:r>
      <w:bookmarkStart w:id="9" w:name="_ednref10"/>
      <w:r w:rsidRPr="00390188">
        <w:rPr>
          <w:rFonts w:ascii="Arial" w:eastAsia="Times New Roman" w:hAnsi="Arial" w:cs="Arial"/>
          <w:sz w:val="30"/>
          <w:szCs w:val="30"/>
          <w:shd w:val="clear" w:color="auto" w:fill="CCFFFF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shd w:val="clear" w:color="auto" w:fill="CCFFFF"/>
          <w:lang w:val="cs-CZ" w:eastAsia="cs-CZ"/>
        </w:rPr>
        <w:instrText xml:space="preserve"> HYPERLINK "" \l "_edn10" </w:instrText>
      </w:r>
      <w:r w:rsidRPr="00390188">
        <w:rPr>
          <w:rFonts w:ascii="Arial" w:eastAsia="Times New Roman" w:hAnsi="Arial" w:cs="Arial"/>
          <w:sz w:val="30"/>
          <w:szCs w:val="30"/>
          <w:shd w:val="clear" w:color="auto" w:fill="CCFFFF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10</w:t>
      </w:r>
      <w:r w:rsidRPr="00390188">
        <w:rPr>
          <w:rFonts w:ascii="Arial" w:eastAsia="Times New Roman" w:hAnsi="Arial" w:cs="Arial"/>
          <w:sz w:val="30"/>
          <w:szCs w:val="30"/>
          <w:shd w:val="clear" w:color="auto" w:fill="CCFFFF"/>
          <w:lang w:val="cs-CZ" w:eastAsia="cs-CZ"/>
        </w:rPr>
        <w:fldChar w:fldCharType="end"/>
      </w:r>
      <w:bookmarkEnd w:id="9"/>
    </w:p>
    <w:p w14:paraId="79BC866D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addition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severity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range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influence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extent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everyday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employment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status, type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extent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domestic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responsibilities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level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support.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Moreover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individual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personality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coping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strategies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influence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perceive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manage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process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viewed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a positive and natural part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but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bothersome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negative feelings.</w:t>
      </w:r>
      <w:bookmarkStart w:id="10" w:name="_ednref11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"_edn11"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11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"/>
    </w:p>
    <w:p w14:paraId="507DECB9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Costs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of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restricting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activities</w:t>
      </w:r>
      <w:proofErr w:type="spellEnd"/>
    </w:p>
    <w:p w14:paraId="09EF490E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Reducing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adapting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daily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activities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adversely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individuals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wider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economic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environment.</w:t>
      </w:r>
    </w:p>
    <w:p w14:paraId="3BD25B61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adverse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report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having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significantly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lower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general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female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population.</w:t>
      </w:r>
      <w:bookmarkStart w:id="11" w:name="_ednref12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"_edn12"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12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11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show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HMB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disrupt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usual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routine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perceived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having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major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life.</w:t>
      </w:r>
      <w:bookmarkStart w:id="12" w:name="_ednref13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"_edn13"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13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bookmarkStart w:id="13" w:name="_ednref14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"_edn14"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14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3"/>
    </w:p>
    <w:p w14:paraId="1008620C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effects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productivity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academic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achievement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extend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beyond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individual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costs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Workplaces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incur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significant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costs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reported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absenteeism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reduced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performance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Absenteeism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HMB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annually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costs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US$12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billion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though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underestimate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costs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presenteeism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excluded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calculations.</w:t>
      </w:r>
      <w:bookmarkStart w:id="14" w:name="_ednref15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"_edn15"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15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14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Reduced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female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participation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education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workplace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concern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gender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perspective.</w:t>
      </w:r>
      <w:bookmarkStart w:id="15" w:name="_ednref16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fldChar w:fldCharType="begin"/>
      </w:r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instrText xml:space="preserve"> HYPERLINK "" \l "_edn16" </w:instrText>
      </w:r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16</w:t>
      </w:r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fldChar w:fldCharType="end"/>
      </w:r>
      <w:bookmarkEnd w:id="15"/>
    </w:p>
    <w:p w14:paraId="2CA6169D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Menstrual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taboo</w:t>
      </w:r>
      <w:proofErr w:type="spellEnd"/>
    </w:p>
    <w:p w14:paraId="7ABE5DF9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While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stigmatised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Western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societies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traditional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cultures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still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widely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taboo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subject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These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cultural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prejudices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play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central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role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attitudes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beliefs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74280A99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generally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understood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private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intimate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matter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keep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hidden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others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reinforcing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idea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secretive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female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process.</w:t>
      </w:r>
      <w:bookmarkStart w:id="16" w:name="_ednref17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"_edn17"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17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6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belief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adversely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mental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emotional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societal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rules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requiring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secrecy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source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ongoing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stress,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especially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severe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impede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concealment.</w:t>
      </w:r>
      <w:bookmarkStart w:id="17" w:name="_ednref18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"_edn18"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18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17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addition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report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employing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coping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strategies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own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comfort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but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avoid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appearing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unreliable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workplace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already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combat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obstacles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sex/gender.</w:t>
      </w:r>
      <w:bookmarkStart w:id="18" w:name="_ednref19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"_edn19"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19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18"/>
    </w:p>
    <w:p w14:paraId="3F2B7436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culture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secrecy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shame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restrict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access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information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problems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perceptions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regard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depends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largely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upon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understanding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Adverse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aspects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—such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—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tolerated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perceived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part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addition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many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unaware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available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implications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health.</w:t>
      </w:r>
      <w:bookmarkStart w:id="19" w:name="_ednref20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"_edn20"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20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9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bookmarkStart w:id="20" w:name="_ednref21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"_edn21"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21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0"/>
    </w:p>
    <w:p w14:paraId="0116135D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Appropriate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healthcare</w:t>
      </w:r>
      <w:proofErr w:type="spellEnd"/>
    </w:p>
    <w:p w14:paraId="46F17ECC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Culture-bound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values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shape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management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frequently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presented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literature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one-dimensional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biological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pathological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aspect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subjective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classified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personal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meaning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individual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Moreover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different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depending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personal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circumstances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model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approach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fails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take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account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result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over-treatment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under-treatment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others.</w:t>
      </w:r>
      <w:bookmarkStart w:id="21" w:name="_ednref22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"_edn22"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22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1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Thus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patient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conjunction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objective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measurements.</w:t>
      </w:r>
      <w:bookmarkStart w:id="22" w:name="_ednref23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"_edn23"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23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2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example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medically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defined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definition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HMB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80ml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per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but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amount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commonly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interpreted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excessive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interferes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life.</w:t>
      </w:r>
      <w:bookmarkStart w:id="23" w:name="_ednref24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"_edn24"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24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3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addition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European-wide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Standards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Gynaecology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Services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specific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standards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chronic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pelvic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emphasise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patient-focused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approach</w:t>
      </w:r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.</w:t>
      </w:r>
      <w:bookmarkStart w:id="24" w:name="_ednref25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"_edn25"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25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24"/>
    </w:p>
    <w:p w14:paraId="399A31CD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Menstrual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health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in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relevant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policy</w:t>
      </w:r>
      <w:proofErr w:type="spellEnd"/>
    </w:p>
    <w:p w14:paraId="6B7554AB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broad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range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areas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education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economic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, justice/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public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These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areas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provide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opportunities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inclusion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specifically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named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sufficiently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addressed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F3E241A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Workplace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health</w:t>
      </w:r>
      <w:proofErr w:type="spellEnd"/>
    </w:p>
    <w:p w14:paraId="5DFBB636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goal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greater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female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employment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set out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Europe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2020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underlines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more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effectively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address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safety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women.</w:t>
      </w:r>
      <w:bookmarkStart w:id="25" w:name="_ednref26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"_edn26"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26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5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two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thirds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currently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employed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majority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these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pre-menopausal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important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significant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percentage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workforce.</w:t>
      </w:r>
      <w:bookmarkStart w:id="26" w:name="_ednref27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"_edn27"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27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6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majority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occupational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focuses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maternity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areas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received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little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attention.</w:t>
      </w:r>
      <w:bookmarkStart w:id="27" w:name="_ednref28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"_edn28"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28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27"/>
    </w:p>
    <w:p w14:paraId="1C8A1B5F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debate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workplace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recently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part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proposal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Italy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introduce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existence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several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Asian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country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Proponents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compare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role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maternity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support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gender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equity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perspective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argued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‘blanket’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brands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everyone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perpetuates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sexism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Others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argue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introduction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specific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bias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hiring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promoting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Informal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indicates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degree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support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flexible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benefit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argue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fails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address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stigma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associated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problems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7948D89C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Gender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equality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and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women’s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health</w:t>
      </w:r>
      <w:proofErr w:type="spellEnd"/>
    </w:p>
    <w:p w14:paraId="7AAAD559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Strategy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wellbeing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Region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based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twin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objectives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wellbeing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acknowledges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determinant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identifies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mainstreaming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mechanism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achieve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equity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Four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priority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areas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identified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relevant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progressing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:</w:t>
      </w:r>
    </w:p>
    <w:p w14:paraId="06C7C121" w14:textId="77777777" w:rsidR="00390188" w:rsidRPr="00390188" w:rsidRDefault="00390188" w:rsidP="003901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Strengthening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governance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well-being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centre</w:t>
      </w:r>
    </w:p>
    <w:p w14:paraId="3848C3F7" w14:textId="77777777" w:rsidR="00390188" w:rsidRPr="00390188" w:rsidRDefault="00390188" w:rsidP="003901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Eliminating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discriminatory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values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norms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practices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well-being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</w:p>
    <w:p w14:paraId="5A929E51" w14:textId="77777777" w:rsidR="00390188" w:rsidRPr="00390188" w:rsidRDefault="00390188" w:rsidP="003901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Tackling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economic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cultural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environmental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determinants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wellbeing</w:t>
      </w:r>
      <w:proofErr w:type="spellEnd"/>
    </w:p>
    <w:p w14:paraId="45D05D1F" w14:textId="77777777" w:rsidR="00390188" w:rsidRPr="00390188" w:rsidRDefault="00390188" w:rsidP="003901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Improving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system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responses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well-being.</w:t>
      </w:r>
      <w:bookmarkStart w:id="28" w:name="_ednref29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"_edn29"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29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8"/>
    </w:p>
    <w:p w14:paraId="659143FA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Human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rights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approach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to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menstrual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health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</w:p>
    <w:p w14:paraId="10E9C63C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Inadequate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access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hygiene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recognised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violation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rights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developing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developed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activists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frequently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rights-based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approach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taxation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sanitary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products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rights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values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promotes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reflected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Action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Plan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Human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Rights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Democracy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2015-2019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specifically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identified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-level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plan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several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areas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relevant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:</w:t>
      </w:r>
    </w:p>
    <w:p w14:paraId="73669B4C" w14:textId="77777777" w:rsidR="00390188" w:rsidRPr="00390188" w:rsidRDefault="00390188" w:rsidP="003901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Empowering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civil society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organisations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defending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rights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and;</w:t>
      </w:r>
    </w:p>
    <w:p w14:paraId="4260B8F5" w14:textId="77777777" w:rsidR="00390188" w:rsidRPr="00390188" w:rsidRDefault="00390188" w:rsidP="003901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Promoting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rights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empowerment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participation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girls.</w:t>
      </w:r>
      <w:bookmarkStart w:id="29" w:name="_ednref30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"_edn30"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30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9"/>
    </w:p>
    <w:p w14:paraId="13A45CB5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Similarly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Organisation’s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Action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Plan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Sexual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three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goals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relevant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:</w:t>
      </w:r>
    </w:p>
    <w:p w14:paraId="23854D18" w14:textId="77777777" w:rsidR="00390188" w:rsidRPr="00390188" w:rsidRDefault="00390188" w:rsidP="003901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Enable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make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informed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decisions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sexual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ensure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rights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respected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protected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fulfilled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4BEB542E" w14:textId="77777777" w:rsidR="00390188" w:rsidRPr="00390188" w:rsidRDefault="00390188" w:rsidP="003901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Ensure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enjoy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highest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attainable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standard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sexual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well-being</w:t>
      </w:r>
      <w:proofErr w:type="spellEnd"/>
    </w:p>
    <w:p w14:paraId="1E0946F9" w14:textId="77777777" w:rsidR="00390188" w:rsidRPr="00390188" w:rsidRDefault="00390188" w:rsidP="003901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Guarantee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universal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access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sexual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eliminate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inequities.</w:t>
      </w:r>
      <w:bookmarkStart w:id="30" w:name="_ednref31"/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"_edn31" </w:instrTex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31</w:t>
      </w:r>
      <w:r w:rsidRPr="00390188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30"/>
    </w:p>
    <w:p w14:paraId="64F48543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Data on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women’s</w:t>
      </w:r>
      <w:proofErr w:type="spellEnd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390188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health</w:t>
      </w:r>
      <w:proofErr w:type="spellEnd"/>
    </w:p>
    <w:p w14:paraId="13A94E22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Despite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sizeable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included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Data and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Information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Union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  <w:bookmarkStart w:id="31" w:name="_ednref32"/>
      <w:r w:rsidRPr="00390188">
        <w:rPr>
          <w:rFonts w:ascii="Arial" w:eastAsia="Times New Roman" w:hAnsi="Arial" w:cs="Arial"/>
          <w:sz w:val="30"/>
          <w:szCs w:val="30"/>
          <w:shd w:val="clear" w:color="auto" w:fill="CCFFFF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shd w:val="clear" w:color="auto" w:fill="CCFFFF"/>
          <w:lang w:val="cs-CZ" w:eastAsia="cs-CZ"/>
        </w:rPr>
        <w:instrText xml:space="preserve"> HYPERLINK "" \l "_edn32" </w:instrText>
      </w:r>
      <w:r w:rsidRPr="00390188">
        <w:rPr>
          <w:rFonts w:ascii="Arial" w:eastAsia="Times New Roman" w:hAnsi="Arial" w:cs="Arial"/>
          <w:sz w:val="30"/>
          <w:szCs w:val="30"/>
          <w:shd w:val="clear" w:color="auto" w:fill="CCFFFF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 xml:space="preserve">32 </w:t>
      </w:r>
      <w:r w:rsidRPr="00390188">
        <w:rPr>
          <w:rFonts w:ascii="Arial" w:eastAsia="Times New Roman" w:hAnsi="Arial" w:cs="Arial"/>
          <w:sz w:val="30"/>
          <w:szCs w:val="30"/>
          <w:shd w:val="clear" w:color="auto" w:fill="CCFFFF"/>
          <w:lang w:val="cs-CZ" w:eastAsia="cs-CZ"/>
        </w:rPr>
        <w:fldChar w:fldCharType="end"/>
      </w:r>
      <w:bookmarkStart w:id="32" w:name="_ednref33"/>
      <w:bookmarkEnd w:id="31"/>
      <w:r w:rsidRPr="00390188">
        <w:rPr>
          <w:rFonts w:ascii="Arial" w:eastAsia="Times New Roman" w:hAnsi="Arial" w:cs="Arial"/>
          <w:i/>
          <w:i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i/>
          <w:i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"_edn33" </w:instrText>
      </w:r>
      <w:r w:rsidRPr="00390188">
        <w:rPr>
          <w:rFonts w:ascii="Arial" w:eastAsia="Times New Roman" w:hAnsi="Arial" w:cs="Arial"/>
          <w:i/>
          <w:i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b/>
          <w:bCs/>
          <w:i/>
          <w:i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33</w:t>
      </w:r>
      <w:r w:rsidRPr="00390188">
        <w:rPr>
          <w:rFonts w:ascii="Arial" w:eastAsia="Times New Roman" w:hAnsi="Arial" w:cs="Arial"/>
          <w:i/>
          <w:i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32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part to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narrow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focus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datasets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example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fertility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derived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solely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number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live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births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opposed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considering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potential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conceive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1272C51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36DC0195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val="cs-CZ" w:eastAsia="cs-CZ"/>
        </w:rPr>
        <w:t>STEPS FOR ACTION</w:t>
      </w:r>
    </w:p>
    <w:p w14:paraId="31358905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1.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Address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silence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surrounding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improve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wellbeing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.  </w:t>
      </w:r>
    </w:p>
    <w:p w14:paraId="6DD66120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engage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collaborate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civil society,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government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officials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authorities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healthcare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professionals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educators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professional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organisations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NGOs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patient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organisations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industry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key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activism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education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helped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stigma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normalise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concept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conversation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changed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empowerment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rather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shame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framed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asset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Efforts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made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understanding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natural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monthly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cycle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energy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flow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maximised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personal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professional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lives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makers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key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support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addresses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efforts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like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establishment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task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conversation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schools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workplaces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    </w:t>
      </w:r>
    </w:p>
    <w:p w14:paraId="5459006F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lastRenderedPageBreak/>
        <w:t xml:space="preserve">2. Support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development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policies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programme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practice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across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Europe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enable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minimise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risk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factors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recognise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abnormal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symptoms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seek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healthcare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at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an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early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stage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.  </w:t>
      </w:r>
    </w:p>
    <w:p w14:paraId="75728D3E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widely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misunderstood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lack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population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-level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interventions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facilitate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easy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access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care.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Policymakers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promote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integration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management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public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campaigns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advocated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Plan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Sexual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example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eating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balanced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diet,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maintaining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lifestyle, and not smoking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significantly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contributing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general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wellbeing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Efforts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made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integrate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like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employment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economic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adequately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address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together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share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employment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socioeconomic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employ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holistic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approach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improving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wellbeing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   </w:t>
      </w:r>
    </w:p>
    <w:p w14:paraId="46A18B71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3.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Empower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healthcare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professionals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themselves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necessary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skills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tools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knowledge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prevention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, early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detection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appropriate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management to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improve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wellbeing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to support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both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workplace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at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home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.</w:t>
      </w:r>
    </w:p>
    <w:p w14:paraId="3E6F5B12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narrow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understanding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process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serve as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barrier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appropriate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care.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Policymakers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support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broader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understanding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adoption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standards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guidelines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promote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appropriate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management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Healthcare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professional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education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tackle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socioeconomic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implications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themselves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empowered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literacy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workplace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rights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efforts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 </w:t>
      </w:r>
    </w:p>
    <w:p w14:paraId="5105A664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4.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Improve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data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collection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within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across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countries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Europe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disaggregating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by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factors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like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age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. </w:t>
      </w:r>
    </w:p>
    <w:p w14:paraId="60CD36E6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Support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effective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multi-disciplinary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multi-sectorial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programming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lack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data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Efforts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made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improve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data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collection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better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understand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trends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track more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effective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interventions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addition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despite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prevalence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significant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gaps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into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generally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emerging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field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until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recently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ignored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dismissed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researchers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Lack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makes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difficult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promote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recommendations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failing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support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Policymakers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support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ethical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equity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perspectives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    </w:t>
      </w:r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 </w:t>
      </w:r>
    </w:p>
    <w:p w14:paraId="3BBFF6F6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5.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Encourage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Member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States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implement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effective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policies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reduce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burden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pose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. </w:t>
      </w:r>
    </w:p>
    <w:p w14:paraId="4E721A4D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Best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supporting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shared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explore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efforts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like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abolition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tampon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taxes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Intervention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explored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HMB, such as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funding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order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fiscal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burdens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condition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places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 </w:t>
      </w:r>
    </w:p>
    <w:p w14:paraId="0A67DB23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6. Support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efforts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that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counteract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discrimination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>workplace</w:t>
      </w:r>
      <w:proofErr w:type="spellEnd"/>
      <w:r w:rsidRPr="00390188">
        <w:rPr>
          <w:rFonts w:ascii="Arial" w:eastAsia="Times New Roman" w:hAnsi="Arial" w:cs="Arial"/>
          <w:b/>
          <w:bCs/>
          <w:sz w:val="33"/>
          <w:szCs w:val="33"/>
          <w:lang w:val="cs-CZ" w:eastAsia="cs-CZ"/>
        </w:rPr>
        <w:t xml:space="preserve">. </w:t>
      </w:r>
    </w:p>
    <w:p w14:paraId="4D4E750D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Given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participation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workplace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debate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surrounding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leave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opportunity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highlight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topic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tackle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Policymakers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facilitate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open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debate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management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workplace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     </w:t>
      </w:r>
    </w:p>
    <w:p w14:paraId="55ED5B6C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7.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Develop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 a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comprehensive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 report on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women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menstruation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 in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Europe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 to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raise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awareness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encourage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European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>action</w:t>
      </w:r>
      <w:proofErr w:type="spellEnd"/>
      <w:r w:rsidRPr="00390188">
        <w:rPr>
          <w:rFonts w:ascii="Helvetica" w:eastAsia="Times New Roman" w:hAnsi="Helvetica" w:cs="Helvetica"/>
          <w:b/>
          <w:bCs/>
          <w:sz w:val="33"/>
          <w:szCs w:val="33"/>
          <w:lang w:val="cs-CZ" w:eastAsia="cs-CZ"/>
        </w:rPr>
        <w:t xml:space="preserve">. </w:t>
      </w:r>
    </w:p>
    <w:p w14:paraId="0DD92710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lastRenderedPageBreak/>
        <w:t>Review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existing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evidence base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research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compile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thorough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literature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review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Examine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across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lifespan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including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its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link to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other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conditions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other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inequities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Explore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biological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physiological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employment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economic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factors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relation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Highlight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current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challenges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give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examples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best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practice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Propose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concrete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programming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practice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solutions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. 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Foster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collaboration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relevant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stakeholders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.      </w:t>
      </w:r>
    </w:p>
    <w:p w14:paraId="5EBC48B5" w14:textId="77777777" w:rsidR="00390188" w:rsidRPr="00390188" w:rsidRDefault="00390188" w:rsidP="00390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A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special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thank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you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PregLem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SA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an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unrestricted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educational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grant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that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supported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generation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“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EU”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policy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brief</w:t>
      </w:r>
      <w:proofErr w:type="spellEnd"/>
      <w:r w:rsidRPr="00390188">
        <w:rPr>
          <w:rFonts w:ascii="Helvetica" w:eastAsia="Times New Roman" w:hAnsi="Helvetica" w:cs="Helvetica"/>
          <w:sz w:val="30"/>
          <w:szCs w:val="30"/>
          <w:lang w:val="cs-CZ" w:eastAsia="cs-CZ"/>
        </w:rPr>
        <w:t>.</w:t>
      </w:r>
    </w:p>
    <w:p w14:paraId="783E34EC" w14:textId="77777777" w:rsidR="00390188" w:rsidRPr="00390188" w:rsidRDefault="00390188" w:rsidP="0039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10ACF860">
          <v:rect id="_x0000_i1026" style="width:0;height:1.5pt" o:hralign="center" o:hrstd="t" o:hr="t" fillcolor="#a0a0a0" stroked="f"/>
        </w:pict>
      </w:r>
    </w:p>
    <w:p w14:paraId="05813487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A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warm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thank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you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to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our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expert </w:t>
      </w:r>
      <w:proofErr w:type="spellStart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reviewer</w:t>
      </w:r>
      <w:proofErr w:type="spellEnd"/>
      <w:r w:rsidRPr="00390188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:</w:t>
      </w:r>
    </w:p>
    <w:p w14:paraId="48C8DD02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Dr. </w:t>
      </w:r>
      <w:proofErr w:type="spellStart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Katrín</w:t>
      </w:r>
      <w:proofErr w:type="spellEnd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Fjeldsted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Past President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CPME,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Committee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Doctors</w:t>
      </w:r>
      <w:proofErr w:type="spellEnd"/>
    </w:p>
    <w:p w14:paraId="5CD377E2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Authors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Peggy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Maguire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Teresa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Keating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Kristin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Semancik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Vanessa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Moore</w:t>
      </w:r>
      <w:proofErr w:type="spellEnd"/>
    </w:p>
    <w:p w14:paraId="37AAF0FE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© 2018 </w:t>
      </w:r>
      <w:proofErr w:type="spellStart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Institute </w:t>
      </w:r>
      <w:proofErr w:type="spellStart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, CLG</w:t>
      </w:r>
    </w:p>
    <w:p w14:paraId="33EC1C96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33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Pearse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Street, Dublin 2,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Ireland</w:t>
      </w:r>
      <w:proofErr w:type="spellEnd"/>
    </w:p>
    <w:p w14:paraId="041177F1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Telephone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: +353-1-671-5691</w:t>
      </w:r>
    </w:p>
    <w:p w14:paraId="2D331D09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Email: </w:t>
      </w:r>
      <w:hyperlink r:id="rId7" w:history="1">
        <w:r w:rsidRPr="00390188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info@eurohealth.ie</w:t>
        </w:r>
      </w:hyperlink>
    </w:p>
    <w:p w14:paraId="1CEDBCDC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Web: </w:t>
      </w:r>
      <w:hyperlink r:id="rId8" w:history="1">
        <w:r w:rsidRPr="00390188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https://www.eurohealth.ie</w:t>
        </w:r>
      </w:hyperlink>
    </w:p>
    <w:p w14:paraId="67730E8C" w14:textId="77777777" w:rsidR="00390188" w:rsidRPr="00390188" w:rsidRDefault="00390188" w:rsidP="00390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cs-CZ" w:eastAsia="cs-CZ"/>
        </w:rPr>
      </w:pPr>
      <w:hyperlink r:id="rId9" w:history="1">
        <w:proofErr w:type="spellStart"/>
        <w:r w:rsidRPr="00390188">
          <w:rPr>
            <w:rFonts w:ascii="Georgia" w:eastAsia="Times New Roman" w:hAnsi="Georgia" w:cs="Times New Roman"/>
            <w:b/>
            <w:bCs/>
            <w:color w:val="0000FF"/>
            <w:sz w:val="30"/>
            <w:szCs w:val="30"/>
            <w:u w:val="single"/>
            <w:shd w:val="clear" w:color="auto" w:fill="FF9900"/>
            <w:lang w:val="cs-CZ" w:eastAsia="cs-CZ"/>
          </w:rPr>
          <w:t>Download</w:t>
        </w:r>
        <w:proofErr w:type="spellEnd"/>
        <w:r w:rsidRPr="00390188">
          <w:rPr>
            <w:rFonts w:ascii="Georgia" w:eastAsia="Times New Roman" w:hAnsi="Georgia" w:cs="Times New Roman"/>
            <w:b/>
            <w:bCs/>
            <w:color w:val="0000FF"/>
            <w:sz w:val="30"/>
            <w:szCs w:val="30"/>
            <w:u w:val="single"/>
            <w:shd w:val="clear" w:color="auto" w:fill="FF9900"/>
            <w:lang w:val="cs-CZ" w:eastAsia="cs-CZ"/>
          </w:rPr>
          <w:t xml:space="preserve"> PDF</w:t>
        </w:r>
      </w:hyperlink>
    </w:p>
    <w:p w14:paraId="44020DC4" w14:textId="77777777" w:rsidR="00390188" w:rsidRPr="00390188" w:rsidRDefault="00390188" w:rsidP="0039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56C13937">
          <v:rect id="_x0000_i1027" style="width:0;height:1.5pt" o:hralign="center" o:hrstd="t" o:hr="t" fillcolor="#a0a0a0" stroked="f"/>
        </w:pict>
      </w:r>
    </w:p>
    <w:p w14:paraId="1DD6EA2D" w14:textId="77777777" w:rsidR="00390188" w:rsidRPr="00390188" w:rsidRDefault="00390188" w:rsidP="00390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proofErr w:type="spellStart"/>
      <w:r w:rsidRPr="00390188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val="cs-CZ" w:eastAsia="cs-CZ"/>
        </w:rPr>
        <w:t>References</w:t>
      </w:r>
      <w:proofErr w:type="spellEnd"/>
      <w:r w:rsidRPr="00390188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val="cs-CZ" w:eastAsia="cs-CZ"/>
        </w:rPr>
        <w:t>:</w:t>
      </w:r>
    </w:p>
    <w:p w14:paraId="58E28F3F" w14:textId="77777777" w:rsidR="00390188" w:rsidRPr="00390188" w:rsidRDefault="00390188" w:rsidP="0039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4DBCD19D">
          <v:rect id="_x0000_i1028" style="width:0;height:1.5pt" o:hralign="center" o:hrstd="t" o:hr="t" fillcolor="#a0a0a0" stroked="f"/>
        </w:pict>
      </w:r>
    </w:p>
    <w:bookmarkStart w:id="33" w:name="_edn1"/>
    <w:p w14:paraId="069E47FF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3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Latthe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Champaneria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R.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Dysmenorrhoea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BMJ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Evidence. 2011: 0813. </w:t>
      </w:r>
    </w:p>
    <w:bookmarkStart w:id="34" w:name="_edn2"/>
    <w:p w14:paraId="013CA887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4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Fraser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I.,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Mansour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D.,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Breymann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C. et al. Prevalence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patient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survey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 J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Gynaecol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Obstet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2015 Mar, 128(3), 196-200.</w:t>
      </w:r>
    </w:p>
    <w:bookmarkStart w:id="35" w:name="_edn3"/>
    <w:p w14:paraId="0F1A00F0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3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5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Eurostat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Population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1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January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2017 by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group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sex. </w:t>
      </w:r>
      <w:hyperlink r:id="rId10" w:history="1">
        <w:r w:rsidRPr="00390188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http://appsso.eurostat.ec.europa.eu/nui/submitViewTableAction.do</w:t>
        </w:r>
      </w:hyperlink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Accessed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27/10/2017.</w:t>
      </w:r>
    </w:p>
    <w:bookmarkStart w:id="36" w:name="_edn4"/>
    <w:p w14:paraId="73A2AC03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4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6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Hapangama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D.,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Bulmer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J.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Pathophysiology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). 2016 Jan, 12(1), 3-13.</w:t>
      </w:r>
    </w:p>
    <w:bookmarkStart w:id="37" w:name="_edn5"/>
    <w:p w14:paraId="42ADD69A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5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7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Bernardi M.,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Lazzeri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L,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Perelli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F. et al.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F1000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2017, 6:1645.</w:t>
      </w:r>
    </w:p>
    <w:bookmarkStart w:id="38" w:name="_edn6"/>
    <w:p w14:paraId="220EBC92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6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8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Sanctis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V.,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Soliman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Bernasconi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S. et al.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Primary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Adolescents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Prevalence,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Recent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Paediatric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Endocrinology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Reviews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2015, 13(2), 465-73.</w:t>
      </w:r>
    </w:p>
    <w:bookmarkStart w:id="39" w:name="_edn7"/>
    <w:p w14:paraId="2A64F2B9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"_ednref7"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7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9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Iacovides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Avidon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I.,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Baker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F.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know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primary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today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critical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review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Update.2015, 21(6), 762–78.</w:t>
      </w:r>
    </w:p>
    <w:bookmarkStart w:id="40" w:name="_edn8"/>
    <w:p w14:paraId="7DC07A32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"_ednref8"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8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0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Liu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Z.,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Doan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Q.,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Blumenthal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P. et al.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systematic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review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evaluating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health-related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impairment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-care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costs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utilization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uterine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Value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2007,10(3), 183–94.</w:t>
      </w:r>
    </w:p>
    <w:bookmarkStart w:id="41" w:name="_edn9"/>
    <w:p w14:paraId="5C1CCBF2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"_ednref9"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9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1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Bitzer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J.,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Serrani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Lahav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Women's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attitudes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towards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Open Access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Journal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Contraception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2013:4 21–28.</w:t>
      </w:r>
    </w:p>
    <w:bookmarkStart w:id="42" w:name="_edn10"/>
    <w:p w14:paraId="57C8DF73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"_ednref10"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10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2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 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Weisberg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E.,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McGeehan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K.,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Fraser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Effect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perceptions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Journal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Contraception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&amp;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Care. 2016, 21(6).</w:t>
      </w:r>
    </w:p>
    <w:bookmarkStart w:id="43" w:name="_edn11"/>
    <w:p w14:paraId="50312521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"_ednref11"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11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3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Santer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Wyke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S, Warner P.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aspects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periods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most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bothersome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reporting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?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Community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survey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qualitative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study BMC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women's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2007,7(8).</w:t>
      </w:r>
    </w:p>
    <w:bookmarkStart w:id="44" w:name="_edn12"/>
    <w:p w14:paraId="086A417A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"_ednref12"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12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4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Barnard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K.,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Frayne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Skinner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K. et al.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status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Journal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Women's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July 2004, 12(9), 911-19. </w:t>
      </w:r>
    </w:p>
    <w:bookmarkStart w:id="45" w:name="_edn13"/>
    <w:p w14:paraId="6F5E9AAB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"_ednref13"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13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5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Bitzer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J.,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Serrani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Lahav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Women's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attitudes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towards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Open Access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Journal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Contraception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2013, 4,21–8.</w:t>
      </w:r>
    </w:p>
    <w:bookmarkStart w:id="46" w:name="_edn14"/>
    <w:p w14:paraId="1B60788D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"_ednref14"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14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6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Iacovides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Avidon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I.,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Baker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F.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Reduced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primary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Acta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Obster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Grnecol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Scand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2014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Feb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, 93(2), 213-17.</w:t>
      </w:r>
    </w:p>
    <w:bookmarkStart w:id="47" w:name="_edn15"/>
    <w:p w14:paraId="5EFD7863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"_ednref15"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15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7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Liu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Z.,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Doan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Q.,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Blumenthal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P. et al.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systematic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review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evaluating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health-related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impairment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-care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costs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utilization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uterine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Value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2007,10(3), 183–94.</w:t>
      </w:r>
    </w:p>
    <w:bookmarkStart w:id="48" w:name="_edn16"/>
    <w:p w14:paraId="3D004C86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"_ednref16"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16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8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Brantelid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I.,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Nilvér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H.,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Alehagen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lifespan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qualitative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study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International. 2014, 35(6), 600-16.</w:t>
      </w:r>
    </w:p>
    <w:bookmarkStart w:id="49" w:name="_edn17"/>
    <w:p w14:paraId="4F84935C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"_ednref17"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17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9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Jackson, T.,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Falmagne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R.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wearing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white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Discourses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menarche.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Feminism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&amp; Psychology. 2013, 23(3), 379-98.</w:t>
      </w:r>
    </w:p>
    <w:bookmarkStart w:id="50" w:name="_edn18"/>
    <w:p w14:paraId="2C1612BB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"_ednref18"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18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0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O’Flynn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N.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importance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women's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Br J Gen Pract.2006 Dec;56(533):950-57.</w:t>
      </w:r>
    </w:p>
    <w:bookmarkStart w:id="51" w:name="_edn19"/>
    <w:p w14:paraId="65D94F65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"_ednref19"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19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1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Burbeck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R.,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Willig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C.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personal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dysmenorrhoea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An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interpretative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phenomenological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analysis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Journal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Psychology.2014, 19(10), </w:t>
      </w:r>
      <w:proofErr w:type="gram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1334- 44</w:t>
      </w:r>
      <w:proofErr w:type="gram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bookmarkStart w:id="52" w:name="_edn20"/>
    <w:p w14:paraId="5CC7D01F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"_ednref20"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20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2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  Bernardi M.,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Lazzeri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L,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Perelli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F. et al.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F1000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2017, 6:1645.</w:t>
      </w:r>
    </w:p>
    <w:bookmarkStart w:id="53" w:name="_edn21"/>
    <w:p w14:paraId="78882DD1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"_ednref21"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21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3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L.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Attitudes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towards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dysmenorrhoea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seeking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adolescent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rural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school-based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survey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Aust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J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Rural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Health.2010, 19, 218–23.</w:t>
      </w:r>
    </w:p>
    <w:bookmarkStart w:id="54" w:name="_edn22"/>
    <w:p w14:paraId="1B52B519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"_ednref22"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22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4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Matteson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K., Clark, A.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Questioning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our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Questions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Do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frequently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asked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questions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adequately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cover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aspects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women's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lives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most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affected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uterine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?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Opinions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abnormal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uterine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participating</w:t>
      </w:r>
      <w:proofErr w:type="spellEnd"/>
      <w:proofErr w:type="gram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focus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group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discussions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2010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March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; 50(2): 195–211.</w:t>
      </w:r>
    </w:p>
    <w:bookmarkStart w:id="55" w:name="_edn23"/>
    <w:p w14:paraId="4EFA3176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"_ednref23"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23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5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Bahamondes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L.,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Moazzam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Recent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advances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managing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understanding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F1000 Prime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Reports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2015, 7:33.</w:t>
      </w:r>
    </w:p>
    <w:bookmarkStart w:id="56" w:name="_edn24"/>
    <w:p w14:paraId="6F484A3D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"_ednref24"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24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6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Institute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Care Excellence.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menstrual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assessment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management.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guideline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Published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24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January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2007 nice.org.uk/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guidance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/cg44.</w:t>
      </w:r>
    </w:p>
    <w:bookmarkStart w:id="57" w:name="_edn25"/>
    <w:p w14:paraId="43550636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"_ednref25"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25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7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Board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College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Obstetrics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Gynaecology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(EBCOG).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Standards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care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Gynaecology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Services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2014.</w:t>
      </w:r>
    </w:p>
    <w:bookmarkStart w:id="58" w:name="_edn26"/>
    <w:p w14:paraId="2FDC2FCB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"_ednref26"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26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8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Commission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2020 – A</w:t>
      </w:r>
      <w:proofErr w:type="gram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smart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sustainable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inclusive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growth.2010</w:t>
      </w:r>
    </w:p>
    <w:bookmarkStart w:id="59" w:name="_edn27"/>
    <w:p w14:paraId="2D2240FC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"_ednref27"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27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9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Eurostat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Employment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activity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sex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2017 </w:t>
      </w:r>
      <w:hyperlink r:id="rId11" w:history="1">
        <w:r w:rsidRPr="00390188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http://appsso.eurostat.ec.europa.eu/nui/submitViewTableAction.do</w:t>
        </w:r>
      </w:hyperlink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 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Accessed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27/10/17.</w:t>
      </w:r>
    </w:p>
    <w:bookmarkStart w:id="60" w:name="_edn28"/>
    <w:p w14:paraId="1623CCE8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"_ednref28"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28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0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Agency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Safety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Work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(OSHA).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Priorities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occupational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safety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2013-2020. 2013.</w:t>
      </w:r>
    </w:p>
    <w:bookmarkStart w:id="61" w:name="_edn29"/>
    <w:p w14:paraId="76788D16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"_ednref29"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29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1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Organisation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(WHO).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wellbeing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Region. 2016.</w:t>
      </w:r>
    </w:p>
    <w:bookmarkStart w:id="62" w:name="_edn30"/>
    <w:p w14:paraId="09C976A9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"_ednref30"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30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2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Commission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Plan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Rights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Democracy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2015-2019. 2015.</w:t>
      </w:r>
    </w:p>
    <w:bookmarkStart w:id="63" w:name="_edn31"/>
    <w:p w14:paraId="10D9FA01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"_ednref31"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31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3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Organisation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(WHO).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plan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sexual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towards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achieving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2030 Agenda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Sustainable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Development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–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leaving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behind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. 2016.</w:t>
      </w:r>
    </w:p>
    <w:bookmarkStart w:id="64" w:name="_edn32"/>
    <w:p w14:paraId="1558AC37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"_ednref32"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32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4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Directorate-Generale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Consumers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(DG SANTE) (2009). Data and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Information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Union.</w:t>
      </w:r>
    </w:p>
    <w:bookmarkStart w:id="65" w:name="_edn33"/>
    <w:p w14:paraId="05D38822" w14:textId="77777777" w:rsidR="00390188" w:rsidRPr="00390188" w:rsidRDefault="00390188" w:rsidP="0039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fldChar w:fldCharType="begin"/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"_ednref33" </w:instrTex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390188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33</w:t>
      </w:r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5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Community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(1996)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State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>Community</w:t>
      </w:r>
      <w:proofErr w:type="spellEnd"/>
      <w:r w:rsidRPr="00390188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hyperlink r:id="rId12" w:history="1">
        <w:r w:rsidRPr="00390188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https://ec.europa.eu/health/state/publications/1996_state_women_en</w:t>
        </w:r>
      </w:hyperlink>
    </w:p>
    <w:p w14:paraId="373C8B8F" w14:textId="77777777" w:rsidR="00FE1C63" w:rsidRDefault="00FE1C63"/>
    <w:sectPr w:rsidR="00FE1C63" w:rsidSect="0060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1F5"/>
    <w:multiLevelType w:val="multilevel"/>
    <w:tmpl w:val="06E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C7E71"/>
    <w:multiLevelType w:val="multilevel"/>
    <w:tmpl w:val="270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85A73"/>
    <w:multiLevelType w:val="multilevel"/>
    <w:tmpl w:val="6B8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1817562">
    <w:abstractNumId w:val="1"/>
  </w:num>
  <w:num w:numId="2" w16cid:durableId="1784613830">
    <w:abstractNumId w:val="2"/>
  </w:num>
  <w:num w:numId="3" w16cid:durableId="132882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88"/>
    <w:rsid w:val="00091F7A"/>
    <w:rsid w:val="00093FE3"/>
    <w:rsid w:val="00390188"/>
    <w:rsid w:val="00603A6F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5D2A"/>
  <w15:chartTrackingRefBased/>
  <w15:docId w15:val="{141D9673-AB99-4D47-9ACB-A1803EC2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39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39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390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1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901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01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3901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018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90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health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urohealth.ie" TargetMode="External"/><Relationship Id="rId12" Type="http://schemas.openxmlformats.org/officeDocument/2006/relationships/hyperlink" Target="https://ec.europa.eu/health/state/publications/1996_state_women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health.ie/wp-content/uploads/2018/03/eurohealth_ie-menstruation.pdf" TargetMode="External"/><Relationship Id="rId11" Type="http://schemas.openxmlformats.org/officeDocument/2006/relationships/hyperlink" Target="http://appsso.eurostat.ec.europa.eu/nui/submitViewTableAction.d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appsso.eurostat.ec.europa.eu/nui/submitViewTableAction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health.ie/wp-content/uploads/2020/10/PB-Menstru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3740</Words>
  <Characters>22066</Characters>
  <Application>Microsoft Office Word</Application>
  <DocSecurity>0</DocSecurity>
  <Lines>183</Lines>
  <Paragraphs>51</Paragraphs>
  <ScaleCrop>false</ScaleCrop>
  <Company/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Hájek</dc:creator>
  <cp:keywords/>
  <dc:description/>
  <cp:lastModifiedBy>Jiří Hájek</cp:lastModifiedBy>
  <cp:revision>1</cp:revision>
  <dcterms:created xsi:type="dcterms:W3CDTF">2022-06-16T11:07:00Z</dcterms:created>
  <dcterms:modified xsi:type="dcterms:W3CDTF">2022-06-16T11:07:00Z</dcterms:modified>
</cp:coreProperties>
</file>