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1C030" w14:textId="77777777" w:rsidR="0050652F" w:rsidRPr="00961423" w:rsidRDefault="0050652F" w:rsidP="00FB4217">
      <w:pPr>
        <w:rPr>
          <w:b/>
          <w:bCs/>
          <w:sz w:val="22"/>
          <w:szCs w:val="22"/>
        </w:rPr>
      </w:pPr>
      <w:r w:rsidRPr="00961423">
        <w:rPr>
          <w:b/>
          <w:bCs/>
          <w:noProof/>
          <w:sz w:val="22"/>
          <w:szCs w:val="22"/>
        </w:rPr>
        <w:drawing>
          <wp:inline distT="0" distB="0" distL="0" distR="0" wp14:anchorId="7690F576" wp14:editId="762E93CC">
            <wp:extent cx="609550" cy="956993"/>
            <wp:effectExtent l="0" t="0" r="635" b="0"/>
            <wp:docPr id="356603042"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03042" name="Picture 1" descr="A logo with a person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09550" cy="956993"/>
                    </a:xfrm>
                    <a:prstGeom prst="rect">
                      <a:avLst/>
                    </a:prstGeom>
                  </pic:spPr>
                </pic:pic>
              </a:graphicData>
            </a:graphic>
          </wp:inline>
        </w:drawing>
      </w:r>
    </w:p>
    <w:p w14:paraId="12B098E4" w14:textId="77777777" w:rsidR="00D25723" w:rsidRPr="00D25723" w:rsidRDefault="00D25723" w:rsidP="00D25723">
      <w:pPr>
        <w:rPr>
          <w:b/>
          <w:bCs/>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106"/>
      </w:tblGrid>
      <w:tr w:rsidR="00D25723" w:rsidRPr="00D25723" w14:paraId="385CC2E3" w14:textId="77777777">
        <w:trPr>
          <w:trHeight w:val="1257"/>
        </w:trPr>
        <w:tc>
          <w:tcPr>
            <w:tcW w:w="9106" w:type="dxa"/>
            <w:tcBorders>
              <w:top w:val="none" w:sz="6" w:space="0" w:color="auto"/>
              <w:bottom w:val="none" w:sz="6" w:space="0" w:color="auto"/>
            </w:tcBorders>
          </w:tcPr>
          <w:p w14:paraId="1BE62AE9" w14:textId="77777777" w:rsidR="00D25723" w:rsidRPr="007071B9" w:rsidRDefault="00D25723" w:rsidP="00D25723">
            <w:pPr>
              <w:rPr>
                <w:b/>
                <w:bCs/>
                <w:color w:val="0070C0"/>
                <w:sz w:val="22"/>
                <w:szCs w:val="22"/>
              </w:rPr>
            </w:pPr>
            <w:r w:rsidRPr="00D25723">
              <w:rPr>
                <w:b/>
                <w:bCs/>
                <w:sz w:val="22"/>
                <w:szCs w:val="22"/>
              </w:rPr>
              <w:t xml:space="preserve"> </w:t>
            </w:r>
            <w:r w:rsidRPr="007071B9">
              <w:rPr>
                <w:b/>
                <w:bCs/>
                <w:color w:val="0070C0"/>
                <w:sz w:val="22"/>
                <w:szCs w:val="22"/>
              </w:rPr>
              <w:t xml:space="preserve">HEALTHY WOMEN, HEALTHY EUROPE </w:t>
            </w:r>
          </w:p>
          <w:p w14:paraId="6808FC71" w14:textId="77777777" w:rsidR="00D25723" w:rsidRPr="00922928" w:rsidRDefault="00D25723" w:rsidP="00D25723">
            <w:pPr>
              <w:rPr>
                <w:b/>
                <w:bCs/>
                <w:color w:val="BF4E14" w:themeColor="accent2" w:themeShade="BF"/>
                <w:sz w:val="22"/>
                <w:szCs w:val="22"/>
              </w:rPr>
            </w:pPr>
            <w:r w:rsidRPr="00922928">
              <w:rPr>
                <w:b/>
                <w:bCs/>
                <w:color w:val="BF4E14" w:themeColor="accent2" w:themeShade="BF"/>
                <w:sz w:val="22"/>
                <w:szCs w:val="22"/>
              </w:rPr>
              <w:t xml:space="preserve">TOWARDS AN EU WOMEN’S HEALTH STRATEGY FOR EUROPE </w:t>
            </w:r>
          </w:p>
          <w:p w14:paraId="3BC9660D" w14:textId="77777777" w:rsidR="00D25723" w:rsidRPr="00D25723" w:rsidRDefault="00D25723" w:rsidP="00D25723">
            <w:pPr>
              <w:rPr>
                <w:b/>
                <w:bCs/>
                <w:sz w:val="22"/>
                <w:szCs w:val="22"/>
              </w:rPr>
            </w:pPr>
            <w:r w:rsidRPr="007071B9">
              <w:rPr>
                <w:b/>
                <w:bCs/>
                <w:color w:val="0070C0"/>
                <w:sz w:val="22"/>
                <w:szCs w:val="22"/>
              </w:rPr>
              <w:t xml:space="preserve">TURNING VISION INTO ACTION </w:t>
            </w:r>
          </w:p>
        </w:tc>
      </w:tr>
    </w:tbl>
    <w:p w14:paraId="7AE47C18" w14:textId="77777777" w:rsidR="00D25723" w:rsidRDefault="00D25723" w:rsidP="00FB4217">
      <w:pPr>
        <w:rPr>
          <w:b/>
          <w:bCs/>
          <w:sz w:val="22"/>
          <w:szCs w:val="22"/>
        </w:rPr>
      </w:pPr>
    </w:p>
    <w:p w14:paraId="5FBE72D6" w14:textId="244B9F6E" w:rsidR="00961423" w:rsidRPr="0026386A" w:rsidRDefault="00EA0207" w:rsidP="0026386A">
      <w:r w:rsidRPr="00EA0207">
        <w:rPr>
          <w:rFonts w:ascii="Aptos" w:hAnsi="Aptos"/>
          <w:b/>
          <w:color w:val="000000"/>
          <w:sz w:val="22"/>
        </w:rPr>
        <w:t>EIWH 2025 Impact Report – Key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3"/>
        <w:gridCol w:w="5383"/>
      </w:tblGrid>
      <w:tr w:rsidR="00961423" w:rsidRPr="00961423" w14:paraId="618E0AD5" w14:textId="77777777" w:rsidTr="007071B9">
        <w:tc>
          <w:tcPr>
            <w:tcW w:w="3643" w:type="dxa"/>
          </w:tcPr>
          <w:p w14:paraId="28486CD0" w14:textId="5CBA274F" w:rsidR="00961423" w:rsidRPr="00961423" w:rsidRDefault="00681959" w:rsidP="001428B1">
            <w:pPr>
              <w:ind w:left="-108"/>
              <w:jc w:val="both"/>
              <w:rPr>
                <w:rFonts w:eastAsia="Arial"/>
                <w:sz w:val="22"/>
                <w:szCs w:val="22"/>
                <w:lang w:eastAsia="en-GB"/>
              </w:rPr>
            </w:pPr>
            <w:r w:rsidRPr="00681959">
              <w:rPr>
                <w:sz w:val="22"/>
                <w:szCs w:val="22"/>
                <w:lang w:val="en-IE"/>
              </w:rPr>
              <w:t>The momentum for an EU Women’s Health Strategy has never been stronge</w:t>
            </w:r>
            <w:r>
              <w:rPr>
                <w:sz w:val="22"/>
                <w:szCs w:val="22"/>
                <w:lang w:val="en-IE"/>
              </w:rPr>
              <w:t xml:space="preserve">r </w:t>
            </w:r>
            <w:r w:rsidR="00961423" w:rsidRPr="00961423">
              <w:rPr>
                <w:sz w:val="22"/>
                <w:szCs w:val="22"/>
              </w:rPr>
              <w:t xml:space="preserve">At EU level, in </w:t>
            </w:r>
            <w:r w:rsidR="00961423" w:rsidRPr="00961423">
              <w:rPr>
                <w:rFonts w:eastAsia="Arial"/>
                <w:sz w:val="22"/>
                <w:szCs w:val="22"/>
                <w:lang w:eastAsia="en-GB"/>
              </w:rPr>
              <w:t xml:space="preserve">its </w:t>
            </w:r>
            <w:hyperlink r:id="rId8" w:history="1">
              <w:r w:rsidR="00961423" w:rsidRPr="00961423">
                <w:rPr>
                  <w:rStyle w:val="Hyperlink"/>
                  <w:rFonts w:eastAsia="Arial"/>
                  <w:sz w:val="22"/>
                  <w:szCs w:val="22"/>
                  <w:lang w:eastAsia="en-GB"/>
                </w:rPr>
                <w:t>Roadmap for Women’s Rights</w:t>
              </w:r>
            </w:hyperlink>
            <w:r w:rsidR="00961423" w:rsidRPr="00961423">
              <w:rPr>
                <w:rFonts w:eastAsia="Arial"/>
                <w:sz w:val="22"/>
                <w:szCs w:val="22"/>
                <w:lang w:eastAsia="en-GB"/>
              </w:rPr>
              <w:t xml:space="preserve"> and the 8 key principles of the </w:t>
            </w:r>
            <w:hyperlink r:id="rId9" w:tgtFrame="_blank" w:history="1">
              <w:r w:rsidR="00961423" w:rsidRPr="00961423">
                <w:rPr>
                  <w:rStyle w:val="Hyperlink"/>
                  <w:rFonts w:eastAsia="Arial"/>
                  <w:sz w:val="22"/>
                  <w:szCs w:val="22"/>
                  <w:lang w:eastAsia="en-GB"/>
                </w:rPr>
                <w:t>Declaration on women’s rights</w:t>
              </w:r>
            </w:hyperlink>
            <w:r w:rsidR="00961423" w:rsidRPr="00961423">
              <w:rPr>
                <w:rFonts w:eastAsia="Arial"/>
                <w:sz w:val="22"/>
                <w:szCs w:val="22"/>
                <w:lang w:eastAsia="en-GB"/>
              </w:rPr>
              <w:t> annexed to the Roadmap, the European Commission (EC) Equality  DG recognises the need to address women’s specific health challenges affirming its commitment to empower women and girls and fully realise a gender-equal society across Europe and the world.</w:t>
            </w:r>
            <w:r w:rsidR="00961423" w:rsidRPr="00961423">
              <w:rPr>
                <w:rStyle w:val="FootnoteReference"/>
                <w:rFonts w:eastAsia="Arial"/>
                <w:sz w:val="22"/>
                <w:szCs w:val="22"/>
                <w:lang w:eastAsia="en-GB"/>
              </w:rPr>
              <w:footnoteReference w:id="1"/>
            </w:r>
            <w:r w:rsidR="00961423" w:rsidRPr="00961423">
              <w:rPr>
                <w:rFonts w:eastAsia="Arial"/>
                <w:sz w:val="22"/>
                <w:szCs w:val="22"/>
                <w:lang w:eastAsia="en-GB"/>
              </w:rPr>
              <w:t xml:space="preserve">  Together with the Roadmap, the </w:t>
            </w:r>
            <w:hyperlink r:id="rId10" w:history="1">
              <w:r w:rsidR="00961423" w:rsidRPr="00961423">
                <w:rPr>
                  <w:rStyle w:val="Hyperlink"/>
                  <w:rFonts w:eastAsia="Arial"/>
                  <w:sz w:val="22"/>
                  <w:szCs w:val="22"/>
                  <w:lang w:eastAsia="en-GB"/>
                </w:rPr>
                <w:t>2025 report on gender equality in the EU</w:t>
              </w:r>
            </w:hyperlink>
            <w:r w:rsidR="00961423" w:rsidRPr="00961423">
              <w:rPr>
                <w:rFonts w:eastAsia="Arial"/>
                <w:sz w:val="22"/>
                <w:szCs w:val="22"/>
                <w:lang w:eastAsia="en-GB"/>
              </w:rPr>
              <w:t xml:space="preserve"> will help frame the work for a new Gender Equality Strategy and serve as a compass towards greater gender equality in the EU.</w:t>
            </w:r>
          </w:p>
          <w:p w14:paraId="7D831EB5" w14:textId="77777777" w:rsidR="00961423" w:rsidRPr="00961423" w:rsidRDefault="00961423" w:rsidP="001428B1">
            <w:pPr>
              <w:jc w:val="both"/>
              <w:rPr>
                <w:rFonts w:eastAsia="Arial"/>
                <w:sz w:val="22"/>
                <w:szCs w:val="22"/>
                <w:lang w:eastAsia="en-GB"/>
              </w:rPr>
            </w:pPr>
          </w:p>
          <w:p w14:paraId="2A3DF9F8" w14:textId="77777777" w:rsidR="00961423" w:rsidRPr="00961423" w:rsidRDefault="00961423" w:rsidP="001428B1">
            <w:pPr>
              <w:ind w:left="-108"/>
              <w:jc w:val="both"/>
              <w:rPr>
                <w:rFonts w:eastAsia="Arial"/>
                <w:sz w:val="22"/>
                <w:szCs w:val="22"/>
                <w:lang w:eastAsia="en-GB"/>
              </w:rPr>
            </w:pPr>
            <w:r w:rsidRPr="00961423">
              <w:rPr>
                <w:rFonts w:eastAsia="Arial"/>
                <w:sz w:val="22"/>
                <w:szCs w:val="22"/>
                <w:lang w:eastAsia="en-GB"/>
              </w:rPr>
              <w:t>At national level, three countries are leading the way with a dedicated Women’s Health strategy (Austria, Ireland and Netherlands). Other countries (France and Germany) are currently considering launching a Women’s Health strategy too.</w:t>
            </w:r>
          </w:p>
        </w:tc>
        <w:tc>
          <w:tcPr>
            <w:tcW w:w="5383" w:type="dxa"/>
          </w:tcPr>
          <w:p w14:paraId="26AB6E72" w14:textId="77777777" w:rsidR="00961423" w:rsidRPr="00961423" w:rsidRDefault="00961423" w:rsidP="001428B1">
            <w:pPr>
              <w:jc w:val="both"/>
              <w:rPr>
                <w:rFonts w:eastAsia="Arial"/>
                <w:sz w:val="22"/>
                <w:szCs w:val="22"/>
                <w:lang w:eastAsia="en-GB"/>
              </w:rPr>
            </w:pPr>
            <w:r w:rsidRPr="00961423">
              <w:rPr>
                <w:noProof/>
                <w:sz w:val="22"/>
                <w:szCs w:val="22"/>
              </w:rPr>
              <w:drawing>
                <wp:inline distT="0" distB="0" distL="0" distR="0" wp14:anchorId="214273E2" wp14:editId="0D646B2A">
                  <wp:extent cx="3281457" cy="2461260"/>
                  <wp:effectExtent l="0" t="0" r="0" b="0"/>
                  <wp:docPr id="38719563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956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3288273" cy="2466372"/>
                          </a:xfrm>
                          <a:prstGeom prst="rect">
                            <a:avLst/>
                          </a:prstGeom>
                        </pic:spPr>
                      </pic:pic>
                    </a:graphicData>
                  </a:graphic>
                </wp:inline>
              </w:drawing>
            </w:r>
          </w:p>
          <w:p w14:paraId="19B8CC9B" w14:textId="77777777" w:rsidR="00961423" w:rsidRPr="00961423" w:rsidRDefault="00961423" w:rsidP="001428B1">
            <w:pPr>
              <w:jc w:val="both"/>
              <w:rPr>
                <w:rFonts w:eastAsia="Arial"/>
                <w:sz w:val="22"/>
                <w:szCs w:val="22"/>
                <w:lang w:eastAsia="en-GB"/>
              </w:rPr>
            </w:pPr>
          </w:p>
        </w:tc>
      </w:tr>
    </w:tbl>
    <w:p w14:paraId="28DBDA46" w14:textId="77777777" w:rsidR="007071B9" w:rsidRDefault="007071B9" w:rsidP="007071B9">
      <w:pPr>
        <w:pStyle w:val="Heading2"/>
        <w:rPr>
          <w:rFonts w:ascii="Calibri" w:hAnsi="Calibri" w:cs="Calibri"/>
          <w:sz w:val="20"/>
          <w:szCs w:val="20"/>
        </w:rPr>
      </w:pPr>
      <w:bookmarkStart w:id="0" w:name="_Toc210401520"/>
    </w:p>
    <w:p w14:paraId="1AB244FA" w14:textId="36F67B10" w:rsidR="007071B9" w:rsidRPr="00DE4011" w:rsidRDefault="007071B9" w:rsidP="007071B9">
      <w:pPr>
        <w:pStyle w:val="Heading2"/>
        <w:rPr>
          <w:rFonts w:asciiTheme="minorHAnsi" w:hAnsiTheme="minorHAnsi" w:cs="Calibri"/>
          <w:b/>
          <w:bCs/>
          <w:sz w:val="22"/>
          <w:szCs w:val="22"/>
        </w:rPr>
      </w:pPr>
      <w:r w:rsidRPr="00DE4011">
        <w:rPr>
          <w:rFonts w:asciiTheme="minorHAnsi" w:hAnsiTheme="minorHAnsi" w:cs="Calibri"/>
          <w:b/>
          <w:bCs/>
          <w:sz w:val="22"/>
          <w:szCs w:val="22"/>
        </w:rPr>
        <w:t xml:space="preserve">Highlights </w:t>
      </w:r>
      <w:proofErr w:type="gramStart"/>
      <w:r w:rsidRPr="00DE4011">
        <w:rPr>
          <w:rFonts w:asciiTheme="minorHAnsi" w:hAnsiTheme="minorHAnsi" w:cs="Calibri"/>
          <w:b/>
          <w:bCs/>
          <w:sz w:val="22"/>
          <w:szCs w:val="22"/>
        </w:rPr>
        <w:t>at a glance</w:t>
      </w:r>
      <w:bookmarkEnd w:id="0"/>
      <w:proofErr w:type="gramEnd"/>
      <w:r w:rsidRPr="00DE4011">
        <w:rPr>
          <w:rFonts w:asciiTheme="minorHAnsi" w:hAnsiTheme="minorHAnsi" w:cs="Calibri"/>
          <w:b/>
          <w:bCs/>
          <w:sz w:val="22"/>
          <w:szCs w:val="22"/>
        </w:rPr>
        <w:t xml:space="preserve"> </w:t>
      </w:r>
    </w:p>
    <w:p w14:paraId="440CF60C" w14:textId="77777777" w:rsidR="007071B9" w:rsidRPr="00382468" w:rsidRDefault="007071B9" w:rsidP="007071B9">
      <w:pPr>
        <w:jc w:val="both"/>
        <w:rPr>
          <w:sz w:val="20"/>
          <w:szCs w:val="20"/>
        </w:rPr>
      </w:pPr>
    </w:p>
    <w:tbl>
      <w:tblPr>
        <w:tblStyle w:val="TableGrid"/>
        <w:tblW w:w="9209" w:type="dxa"/>
        <w:tblLook w:val="04A0" w:firstRow="1" w:lastRow="0" w:firstColumn="1" w:lastColumn="0" w:noHBand="0" w:noVBand="1"/>
      </w:tblPr>
      <w:tblGrid>
        <w:gridCol w:w="352"/>
        <w:gridCol w:w="17"/>
        <w:gridCol w:w="369"/>
        <w:gridCol w:w="8471"/>
      </w:tblGrid>
      <w:tr w:rsidR="007071B9" w:rsidRPr="00382468" w14:paraId="0D99DDDD" w14:textId="77777777" w:rsidTr="00367B91">
        <w:trPr>
          <w:cantSplit/>
          <w:trHeight w:val="1134"/>
        </w:trPr>
        <w:tc>
          <w:tcPr>
            <w:tcW w:w="352"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0481249" w14:textId="77777777" w:rsidR="007071B9" w:rsidRPr="00382468" w:rsidRDefault="007071B9" w:rsidP="00367B91">
            <w:pPr>
              <w:jc w:val="center"/>
              <w:rPr>
                <w:b/>
                <w:bCs/>
                <w:color w:val="002060"/>
                <w:sz w:val="18"/>
                <w:szCs w:val="18"/>
              </w:rPr>
            </w:pPr>
            <w:r w:rsidRPr="00382468">
              <w:rPr>
                <w:b/>
                <w:bCs/>
                <w:color w:val="002060"/>
                <w:sz w:val="18"/>
                <w:szCs w:val="18"/>
              </w:rPr>
              <w:t>P</w:t>
            </w:r>
          </w:p>
          <w:p w14:paraId="27F251E3" w14:textId="77777777" w:rsidR="007071B9" w:rsidRPr="00382468" w:rsidRDefault="007071B9" w:rsidP="00367B91">
            <w:pPr>
              <w:jc w:val="center"/>
              <w:rPr>
                <w:b/>
                <w:bCs/>
                <w:color w:val="002060"/>
                <w:sz w:val="18"/>
                <w:szCs w:val="18"/>
              </w:rPr>
            </w:pPr>
            <w:r w:rsidRPr="00382468">
              <w:rPr>
                <w:b/>
                <w:bCs/>
                <w:color w:val="002060"/>
                <w:sz w:val="18"/>
                <w:szCs w:val="18"/>
              </w:rPr>
              <w:t>O</w:t>
            </w:r>
          </w:p>
          <w:p w14:paraId="163C435D" w14:textId="77777777" w:rsidR="007071B9" w:rsidRPr="00382468" w:rsidRDefault="007071B9" w:rsidP="00367B91">
            <w:pPr>
              <w:jc w:val="center"/>
              <w:rPr>
                <w:b/>
                <w:bCs/>
                <w:color w:val="002060"/>
                <w:sz w:val="18"/>
                <w:szCs w:val="18"/>
              </w:rPr>
            </w:pPr>
            <w:r w:rsidRPr="00382468">
              <w:rPr>
                <w:b/>
                <w:bCs/>
                <w:color w:val="002060"/>
                <w:sz w:val="18"/>
                <w:szCs w:val="18"/>
              </w:rPr>
              <w:t>L</w:t>
            </w:r>
          </w:p>
          <w:p w14:paraId="20F10EB8" w14:textId="77777777" w:rsidR="007071B9" w:rsidRPr="00382468" w:rsidRDefault="007071B9" w:rsidP="00367B91">
            <w:pPr>
              <w:jc w:val="center"/>
              <w:rPr>
                <w:b/>
                <w:bCs/>
                <w:color w:val="002060"/>
                <w:sz w:val="18"/>
                <w:szCs w:val="18"/>
              </w:rPr>
            </w:pPr>
            <w:r w:rsidRPr="00382468">
              <w:rPr>
                <w:b/>
                <w:bCs/>
                <w:color w:val="002060"/>
                <w:sz w:val="18"/>
                <w:szCs w:val="18"/>
              </w:rPr>
              <w:t>I</w:t>
            </w:r>
            <w:r w:rsidRPr="00382468">
              <w:rPr>
                <w:b/>
                <w:bCs/>
                <w:color w:val="002060"/>
                <w:sz w:val="18"/>
                <w:szCs w:val="18"/>
              </w:rPr>
              <w:br/>
              <w:t>C</w:t>
            </w:r>
            <w:r w:rsidRPr="00382468">
              <w:rPr>
                <w:b/>
                <w:bCs/>
                <w:color w:val="002060"/>
                <w:sz w:val="18"/>
                <w:szCs w:val="18"/>
              </w:rPr>
              <w:br/>
              <w:t>Y</w:t>
            </w:r>
          </w:p>
        </w:tc>
        <w:tc>
          <w:tcPr>
            <w:tcW w:w="386"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5ACE6AB4" w14:textId="77777777" w:rsidR="007071B9" w:rsidRPr="00382468" w:rsidRDefault="007071B9" w:rsidP="00367B91">
            <w:pPr>
              <w:jc w:val="center"/>
              <w:rPr>
                <w:b/>
                <w:bCs/>
                <w:color w:val="002060"/>
                <w:sz w:val="18"/>
                <w:szCs w:val="18"/>
              </w:rPr>
            </w:pPr>
          </w:p>
          <w:p w14:paraId="3BE06EA2" w14:textId="77777777" w:rsidR="007071B9" w:rsidRPr="00382468" w:rsidRDefault="007071B9" w:rsidP="00367B91">
            <w:pPr>
              <w:jc w:val="center"/>
              <w:rPr>
                <w:b/>
                <w:bCs/>
                <w:color w:val="002060"/>
                <w:sz w:val="18"/>
                <w:szCs w:val="18"/>
              </w:rPr>
            </w:pPr>
            <w:r w:rsidRPr="00382468">
              <w:rPr>
                <w:b/>
                <w:bCs/>
                <w:color w:val="002060"/>
                <w:sz w:val="18"/>
                <w:szCs w:val="18"/>
              </w:rPr>
              <w:t>A</w:t>
            </w:r>
          </w:p>
          <w:p w14:paraId="2C00FE44" w14:textId="77777777" w:rsidR="007071B9" w:rsidRPr="00382468" w:rsidRDefault="007071B9" w:rsidP="00367B91">
            <w:pPr>
              <w:jc w:val="center"/>
              <w:rPr>
                <w:b/>
                <w:bCs/>
                <w:color w:val="002060"/>
              </w:rPr>
            </w:pPr>
            <w:r w:rsidRPr="00382468">
              <w:rPr>
                <w:b/>
                <w:bCs/>
                <w:color w:val="002060"/>
                <w:sz w:val="18"/>
                <w:szCs w:val="18"/>
              </w:rPr>
              <w:t>D</w:t>
            </w:r>
            <w:r w:rsidRPr="00382468">
              <w:rPr>
                <w:b/>
                <w:bCs/>
                <w:color w:val="002060"/>
                <w:sz w:val="18"/>
                <w:szCs w:val="18"/>
              </w:rPr>
              <w:br/>
              <w:t>V</w:t>
            </w:r>
            <w:r w:rsidRPr="00382468">
              <w:rPr>
                <w:b/>
                <w:bCs/>
                <w:color w:val="002060"/>
                <w:sz w:val="18"/>
                <w:szCs w:val="18"/>
              </w:rPr>
              <w:br/>
              <w:t>O</w:t>
            </w:r>
            <w:r w:rsidRPr="00382468">
              <w:rPr>
                <w:b/>
                <w:bCs/>
                <w:color w:val="002060"/>
                <w:sz w:val="18"/>
                <w:szCs w:val="18"/>
              </w:rPr>
              <w:br/>
              <w:t xml:space="preserve">C </w:t>
            </w:r>
            <w:r w:rsidRPr="00382468">
              <w:rPr>
                <w:b/>
                <w:bCs/>
                <w:color w:val="002060"/>
                <w:sz w:val="18"/>
                <w:szCs w:val="18"/>
              </w:rPr>
              <w:br/>
              <w:t>A</w:t>
            </w:r>
            <w:r w:rsidRPr="00382468">
              <w:rPr>
                <w:b/>
                <w:bCs/>
                <w:color w:val="002060"/>
                <w:sz w:val="18"/>
                <w:szCs w:val="18"/>
              </w:rPr>
              <w:br/>
              <w:t>C</w:t>
            </w:r>
            <w:r w:rsidRPr="00382468">
              <w:rPr>
                <w:b/>
                <w:bCs/>
                <w:color w:val="002060"/>
                <w:sz w:val="18"/>
                <w:szCs w:val="18"/>
              </w:rPr>
              <w:br/>
              <w:t>Y</w:t>
            </w:r>
          </w:p>
        </w:tc>
        <w:tc>
          <w:tcPr>
            <w:tcW w:w="8471" w:type="dxa"/>
            <w:tcBorders>
              <w:left w:val="single" w:sz="4" w:space="0" w:color="auto"/>
            </w:tcBorders>
            <w:shd w:val="clear" w:color="auto" w:fill="F2F2F2" w:themeFill="background1" w:themeFillShade="F2"/>
            <w:vAlign w:val="center"/>
          </w:tcPr>
          <w:p w14:paraId="3D274022" w14:textId="77777777" w:rsidR="007071B9" w:rsidRPr="00382468" w:rsidRDefault="007071B9" w:rsidP="00367B91">
            <w:pPr>
              <w:ind w:left="720"/>
              <w:rPr>
                <w:color w:val="002060"/>
                <w:sz w:val="20"/>
                <w:szCs w:val="20"/>
              </w:rPr>
            </w:pPr>
          </w:p>
          <w:p w14:paraId="25D4327E" w14:textId="5E47FAC9" w:rsidR="007071B9" w:rsidRDefault="007071B9" w:rsidP="003D42FA">
            <w:pPr>
              <w:numPr>
                <w:ilvl w:val="0"/>
                <w:numId w:val="1"/>
              </w:numPr>
              <w:rPr>
                <w:color w:val="002060"/>
                <w:sz w:val="18"/>
                <w:szCs w:val="18"/>
              </w:rPr>
            </w:pPr>
            <w:r w:rsidRPr="00382468">
              <w:rPr>
                <w:b/>
                <w:bCs/>
                <w:color w:val="002060"/>
                <w:sz w:val="18"/>
                <w:szCs w:val="18"/>
              </w:rPr>
              <w:t xml:space="preserve">Launch of the MEPs for Women’s Health Interest </w:t>
            </w:r>
            <w:proofErr w:type="gramStart"/>
            <w:r w:rsidRPr="00382468">
              <w:rPr>
                <w:b/>
                <w:bCs/>
                <w:color w:val="002060"/>
                <w:sz w:val="18"/>
                <w:szCs w:val="18"/>
              </w:rPr>
              <w:t>Group</w:t>
            </w:r>
            <w:r w:rsidR="00AA374E">
              <w:rPr>
                <w:b/>
                <w:bCs/>
                <w:color w:val="002060"/>
                <w:sz w:val="18"/>
                <w:szCs w:val="18"/>
              </w:rPr>
              <w:t>(</w:t>
            </w:r>
            <w:proofErr w:type="gramEnd"/>
            <w:r w:rsidR="00AA374E">
              <w:rPr>
                <w:b/>
                <w:bCs/>
                <w:color w:val="002060"/>
                <w:sz w:val="18"/>
                <w:szCs w:val="18"/>
              </w:rPr>
              <w:t>IG)</w:t>
            </w:r>
            <w:r w:rsidRPr="00382468">
              <w:rPr>
                <w:color w:val="002060"/>
                <w:sz w:val="18"/>
                <w:szCs w:val="18"/>
              </w:rPr>
              <w:t xml:space="preserve"> in the European Parliament — establishing a permanent platform for advancing women’s health in EU policy.</w:t>
            </w:r>
          </w:p>
          <w:p w14:paraId="72E560AD" w14:textId="00847A05" w:rsidR="00AA374E" w:rsidRPr="00AA374E" w:rsidRDefault="00AA374E" w:rsidP="003D42FA">
            <w:pPr>
              <w:numPr>
                <w:ilvl w:val="0"/>
                <w:numId w:val="1"/>
              </w:numPr>
              <w:rPr>
                <w:color w:val="002060"/>
                <w:sz w:val="18"/>
                <w:szCs w:val="18"/>
              </w:rPr>
            </w:pPr>
            <w:r>
              <w:rPr>
                <w:b/>
                <w:bCs/>
                <w:color w:val="002060"/>
                <w:sz w:val="18"/>
                <w:szCs w:val="18"/>
              </w:rPr>
              <w:t xml:space="preserve"> Organised Two successful roundtables for </w:t>
            </w:r>
            <w:r w:rsidRPr="00382468">
              <w:rPr>
                <w:b/>
                <w:bCs/>
                <w:color w:val="002060"/>
                <w:sz w:val="18"/>
                <w:szCs w:val="18"/>
              </w:rPr>
              <w:t>the MEPs for Women’s Health Interest Group</w:t>
            </w:r>
            <w:r>
              <w:rPr>
                <w:b/>
                <w:bCs/>
                <w:color w:val="002060"/>
                <w:sz w:val="18"/>
                <w:szCs w:val="18"/>
              </w:rPr>
              <w:t xml:space="preserve"> </w:t>
            </w:r>
            <w:r w:rsidRPr="00AA374E">
              <w:rPr>
                <w:color w:val="002060"/>
                <w:sz w:val="18"/>
                <w:szCs w:val="18"/>
              </w:rPr>
              <w:t xml:space="preserve">followed up </w:t>
            </w:r>
            <w:proofErr w:type="gramStart"/>
            <w:r w:rsidRPr="00AA374E">
              <w:rPr>
                <w:color w:val="002060"/>
                <w:sz w:val="18"/>
                <w:szCs w:val="18"/>
              </w:rPr>
              <w:t>by  IG</w:t>
            </w:r>
            <w:proofErr w:type="gramEnd"/>
            <w:r w:rsidRPr="00AA374E">
              <w:rPr>
                <w:color w:val="002060"/>
                <w:sz w:val="18"/>
                <w:szCs w:val="18"/>
              </w:rPr>
              <w:t xml:space="preserve"> receiving priorities in women’s health from over 80 organisations</w:t>
            </w:r>
          </w:p>
          <w:p w14:paraId="58A1D2F4" w14:textId="61FDD31E" w:rsidR="007071B9" w:rsidRPr="00382468" w:rsidRDefault="007071B9" w:rsidP="003D42FA">
            <w:pPr>
              <w:numPr>
                <w:ilvl w:val="0"/>
                <w:numId w:val="1"/>
              </w:numPr>
              <w:rPr>
                <w:color w:val="002060"/>
                <w:sz w:val="18"/>
                <w:szCs w:val="18"/>
              </w:rPr>
            </w:pPr>
            <w:r w:rsidRPr="00382468">
              <w:rPr>
                <w:b/>
                <w:bCs/>
                <w:color w:val="002060"/>
                <w:sz w:val="18"/>
                <w:szCs w:val="18"/>
              </w:rPr>
              <w:t>Young Women’s Health Group established</w:t>
            </w:r>
            <w:r w:rsidRPr="00382468">
              <w:rPr>
                <w:color w:val="002060"/>
                <w:sz w:val="18"/>
                <w:szCs w:val="18"/>
              </w:rPr>
              <w:t xml:space="preserve"> — ensuring women aged 18–35 actively shape health priorities and policies.</w:t>
            </w:r>
            <w:r w:rsidR="00AA374E">
              <w:rPr>
                <w:color w:val="002060"/>
                <w:sz w:val="18"/>
                <w:szCs w:val="18"/>
              </w:rPr>
              <w:t xml:space="preserve"> </w:t>
            </w:r>
          </w:p>
          <w:p w14:paraId="5326C9E9" w14:textId="77777777" w:rsidR="007071B9" w:rsidRPr="00382468" w:rsidRDefault="007071B9" w:rsidP="003D42FA">
            <w:pPr>
              <w:numPr>
                <w:ilvl w:val="0"/>
                <w:numId w:val="1"/>
              </w:numPr>
              <w:rPr>
                <w:color w:val="002060"/>
                <w:sz w:val="18"/>
                <w:szCs w:val="18"/>
              </w:rPr>
            </w:pPr>
            <w:r w:rsidRPr="00382468">
              <w:rPr>
                <w:b/>
                <w:bCs/>
                <w:color w:val="002060"/>
                <w:sz w:val="18"/>
                <w:szCs w:val="18"/>
              </w:rPr>
              <w:t>Flagship Framework Advanced:</w:t>
            </w:r>
            <w:r w:rsidRPr="00382468">
              <w:rPr>
                <w:color w:val="002060"/>
                <w:sz w:val="18"/>
                <w:szCs w:val="18"/>
              </w:rPr>
              <w:t xml:space="preserve"> </w:t>
            </w:r>
            <w:r w:rsidRPr="00382468">
              <w:rPr>
                <w:i/>
                <w:iCs/>
                <w:color w:val="002060"/>
                <w:sz w:val="18"/>
                <w:szCs w:val="18"/>
              </w:rPr>
              <w:t>Towards an EU Strategy for Women’s Health</w:t>
            </w:r>
            <w:r w:rsidRPr="00382468">
              <w:rPr>
                <w:color w:val="002060"/>
                <w:sz w:val="18"/>
                <w:szCs w:val="18"/>
              </w:rPr>
              <w:t xml:space="preserve"> supported by nearly 50 organisations, laying the foundation for a future </w:t>
            </w:r>
            <w:r w:rsidRPr="00382468">
              <w:rPr>
                <w:b/>
                <w:bCs/>
                <w:color w:val="002060"/>
                <w:sz w:val="18"/>
                <w:szCs w:val="18"/>
              </w:rPr>
              <w:t>Coalition for Women’s Health</w:t>
            </w:r>
            <w:r w:rsidRPr="00382468">
              <w:rPr>
                <w:color w:val="002060"/>
                <w:sz w:val="18"/>
                <w:szCs w:val="18"/>
              </w:rPr>
              <w:t>.</w:t>
            </w:r>
          </w:p>
          <w:p w14:paraId="121CBF5F" w14:textId="55ACFBE5" w:rsidR="007071B9" w:rsidRPr="00382468" w:rsidRDefault="007071B9" w:rsidP="003D42FA">
            <w:pPr>
              <w:numPr>
                <w:ilvl w:val="0"/>
                <w:numId w:val="1"/>
              </w:numPr>
              <w:rPr>
                <w:color w:val="002060"/>
                <w:sz w:val="18"/>
                <w:szCs w:val="18"/>
              </w:rPr>
            </w:pPr>
            <w:r w:rsidRPr="00382468">
              <w:rPr>
                <w:b/>
                <w:bCs/>
                <w:color w:val="002060"/>
                <w:sz w:val="18"/>
                <w:szCs w:val="18"/>
              </w:rPr>
              <w:t>High-Level Conference in Dublin</w:t>
            </w:r>
            <w:r w:rsidR="00BC32AE">
              <w:rPr>
                <w:b/>
                <w:bCs/>
                <w:color w:val="002060"/>
                <w:sz w:val="18"/>
                <w:szCs w:val="18"/>
              </w:rPr>
              <w:t xml:space="preserve"> (November)</w:t>
            </w:r>
            <w:r w:rsidRPr="00382468">
              <w:rPr>
                <w:b/>
                <w:bCs/>
                <w:color w:val="002060"/>
                <w:sz w:val="18"/>
                <w:szCs w:val="18"/>
              </w:rPr>
              <w:t>:</w:t>
            </w:r>
            <w:r w:rsidRPr="00382468">
              <w:rPr>
                <w:color w:val="002060"/>
                <w:sz w:val="18"/>
                <w:szCs w:val="18"/>
              </w:rPr>
              <w:t xml:space="preserve"> With the Irish Global Health Network</w:t>
            </w:r>
            <w:r>
              <w:rPr>
                <w:color w:val="002060"/>
                <w:sz w:val="18"/>
                <w:szCs w:val="18"/>
              </w:rPr>
              <w:t xml:space="preserve"> and Women in Global Health,</w:t>
            </w:r>
            <w:r w:rsidRPr="00382468">
              <w:rPr>
                <w:color w:val="002060"/>
                <w:sz w:val="18"/>
                <w:szCs w:val="18"/>
              </w:rPr>
              <w:t xml:space="preserve"> convened experts, advocates, policymakers, and women with lived experience to embed gender equity into EU health policy. Outcomes will directly inform the Irish Presidency of the EU.</w:t>
            </w:r>
          </w:p>
          <w:p w14:paraId="73E65D2D" w14:textId="77777777" w:rsidR="007071B9" w:rsidRPr="00382468" w:rsidRDefault="007071B9" w:rsidP="003D42FA">
            <w:pPr>
              <w:numPr>
                <w:ilvl w:val="0"/>
                <w:numId w:val="1"/>
              </w:numPr>
              <w:rPr>
                <w:color w:val="002060"/>
                <w:sz w:val="18"/>
                <w:szCs w:val="18"/>
              </w:rPr>
            </w:pPr>
            <w:r w:rsidRPr="00382468">
              <w:rPr>
                <w:color w:val="002060"/>
                <w:sz w:val="18"/>
                <w:szCs w:val="18"/>
              </w:rPr>
              <w:t xml:space="preserve">Launch the </w:t>
            </w:r>
            <w:r w:rsidRPr="00382468">
              <w:rPr>
                <w:b/>
                <w:bCs/>
                <w:color w:val="002060"/>
                <w:sz w:val="18"/>
                <w:szCs w:val="18"/>
              </w:rPr>
              <w:t>EU Partnership for Women’s Health</w:t>
            </w:r>
            <w:r w:rsidRPr="00382468">
              <w:rPr>
                <w:color w:val="002060"/>
                <w:sz w:val="18"/>
                <w:szCs w:val="18"/>
              </w:rPr>
              <w:t xml:space="preserve"> with 50 partners.</w:t>
            </w:r>
          </w:p>
          <w:p w14:paraId="679173FE" w14:textId="77777777" w:rsidR="007071B9" w:rsidRDefault="007071B9" w:rsidP="003D42FA">
            <w:pPr>
              <w:numPr>
                <w:ilvl w:val="0"/>
                <w:numId w:val="1"/>
              </w:numPr>
              <w:rPr>
                <w:b/>
                <w:bCs/>
                <w:color w:val="002060"/>
                <w:sz w:val="18"/>
                <w:szCs w:val="18"/>
              </w:rPr>
            </w:pPr>
            <w:r w:rsidRPr="00382468">
              <w:rPr>
                <w:color w:val="002060"/>
                <w:sz w:val="18"/>
                <w:szCs w:val="18"/>
              </w:rPr>
              <w:t>Launch of the EIWH</w:t>
            </w:r>
            <w:r w:rsidRPr="00382468">
              <w:rPr>
                <w:b/>
                <w:bCs/>
                <w:color w:val="002060"/>
                <w:sz w:val="18"/>
                <w:szCs w:val="18"/>
              </w:rPr>
              <w:t xml:space="preserve"> EU Strategy for Women’s Health</w:t>
            </w:r>
          </w:p>
          <w:p w14:paraId="54C0F4E0" w14:textId="7D818B68" w:rsidR="007071B9" w:rsidRDefault="007071B9" w:rsidP="003D42FA">
            <w:pPr>
              <w:numPr>
                <w:ilvl w:val="0"/>
                <w:numId w:val="1"/>
              </w:numPr>
              <w:rPr>
                <w:b/>
                <w:bCs/>
                <w:color w:val="002060"/>
                <w:sz w:val="18"/>
                <w:szCs w:val="18"/>
              </w:rPr>
            </w:pPr>
            <w:r>
              <w:rPr>
                <w:b/>
                <w:bCs/>
                <w:color w:val="002060"/>
                <w:sz w:val="18"/>
                <w:szCs w:val="18"/>
              </w:rPr>
              <w:t xml:space="preserve">Amendments in Critical Medicines Act </w:t>
            </w:r>
          </w:p>
          <w:p w14:paraId="4CB9BCEB" w14:textId="4114D402" w:rsidR="007071B9" w:rsidRDefault="007071B9" w:rsidP="003D42FA">
            <w:pPr>
              <w:numPr>
                <w:ilvl w:val="0"/>
                <w:numId w:val="1"/>
              </w:numPr>
              <w:rPr>
                <w:b/>
                <w:bCs/>
                <w:color w:val="002060"/>
                <w:sz w:val="18"/>
                <w:szCs w:val="18"/>
              </w:rPr>
            </w:pPr>
            <w:r>
              <w:rPr>
                <w:b/>
                <w:bCs/>
                <w:color w:val="002060"/>
                <w:sz w:val="18"/>
                <w:szCs w:val="18"/>
              </w:rPr>
              <w:t>Recommendations on Pharma Package</w:t>
            </w:r>
          </w:p>
          <w:p w14:paraId="61314E40" w14:textId="08045302" w:rsidR="007071B9" w:rsidRDefault="007071B9" w:rsidP="003D42FA">
            <w:pPr>
              <w:numPr>
                <w:ilvl w:val="0"/>
                <w:numId w:val="1"/>
              </w:numPr>
              <w:rPr>
                <w:b/>
                <w:bCs/>
                <w:color w:val="002060"/>
                <w:sz w:val="18"/>
                <w:szCs w:val="18"/>
              </w:rPr>
            </w:pPr>
            <w:r>
              <w:rPr>
                <w:b/>
                <w:bCs/>
                <w:color w:val="002060"/>
                <w:sz w:val="18"/>
                <w:szCs w:val="18"/>
              </w:rPr>
              <w:t>Submission to consultation on cardiovascular disease</w:t>
            </w:r>
          </w:p>
          <w:p w14:paraId="45A51122" w14:textId="67DBCF79" w:rsidR="007071B9" w:rsidRDefault="007071B9" w:rsidP="003D42FA">
            <w:pPr>
              <w:numPr>
                <w:ilvl w:val="0"/>
                <w:numId w:val="1"/>
              </w:numPr>
              <w:rPr>
                <w:b/>
                <w:bCs/>
                <w:color w:val="002060"/>
                <w:sz w:val="18"/>
                <w:szCs w:val="18"/>
              </w:rPr>
            </w:pPr>
            <w:r>
              <w:rPr>
                <w:b/>
                <w:bCs/>
                <w:color w:val="002060"/>
                <w:sz w:val="18"/>
                <w:szCs w:val="18"/>
              </w:rPr>
              <w:t>Submission on EU4Health Programme 2026</w:t>
            </w:r>
          </w:p>
          <w:p w14:paraId="55C05B21" w14:textId="1A836D8A" w:rsidR="007071B9" w:rsidRDefault="007071B9" w:rsidP="003D42FA">
            <w:pPr>
              <w:numPr>
                <w:ilvl w:val="0"/>
                <w:numId w:val="1"/>
              </w:numPr>
              <w:rPr>
                <w:b/>
                <w:bCs/>
                <w:color w:val="002060"/>
                <w:sz w:val="18"/>
                <w:szCs w:val="18"/>
              </w:rPr>
            </w:pPr>
            <w:r>
              <w:rPr>
                <w:b/>
                <w:bCs/>
                <w:color w:val="002060"/>
                <w:sz w:val="18"/>
                <w:szCs w:val="18"/>
              </w:rPr>
              <w:t xml:space="preserve">Consulted </w:t>
            </w:r>
            <w:r w:rsidR="003D42FA">
              <w:rPr>
                <w:b/>
                <w:bCs/>
                <w:color w:val="002060"/>
                <w:sz w:val="18"/>
                <w:szCs w:val="18"/>
              </w:rPr>
              <w:t>by EIOPA</w:t>
            </w:r>
          </w:p>
          <w:p w14:paraId="19844B45" w14:textId="77777777" w:rsidR="003D42FA" w:rsidRPr="003D42FA" w:rsidRDefault="003D42FA" w:rsidP="003D42FA">
            <w:pPr>
              <w:numPr>
                <w:ilvl w:val="0"/>
                <w:numId w:val="1"/>
              </w:numPr>
              <w:rPr>
                <w:sz w:val="18"/>
                <w:szCs w:val="18"/>
              </w:rPr>
            </w:pPr>
            <w:r w:rsidRPr="003D42FA">
              <w:rPr>
                <w:b/>
                <w:bCs/>
                <w:color w:val="310053"/>
                <w:sz w:val="18"/>
                <w:szCs w:val="18"/>
              </w:rPr>
              <w:t>Draft 2026 Action plan</w:t>
            </w:r>
            <w:r w:rsidRPr="003D42FA">
              <w:rPr>
                <w:color w:val="310053"/>
                <w:sz w:val="18"/>
                <w:szCs w:val="18"/>
              </w:rPr>
              <w:t xml:space="preserve"> </w:t>
            </w:r>
            <w:r w:rsidRPr="003D42FA">
              <w:rPr>
                <w:sz w:val="18"/>
                <w:szCs w:val="18"/>
              </w:rPr>
              <w:t>for MEPs for Women’s Health Interest Group</w:t>
            </w:r>
          </w:p>
          <w:p w14:paraId="2802BB55" w14:textId="77777777" w:rsidR="003D42FA" w:rsidRPr="003D42FA" w:rsidRDefault="003D42FA" w:rsidP="003D42FA">
            <w:pPr>
              <w:numPr>
                <w:ilvl w:val="0"/>
                <w:numId w:val="1"/>
              </w:numPr>
              <w:rPr>
                <w:sz w:val="18"/>
                <w:szCs w:val="18"/>
              </w:rPr>
            </w:pPr>
            <w:r w:rsidRPr="003D42FA">
              <w:rPr>
                <w:b/>
                <w:bCs/>
                <w:color w:val="001753"/>
                <w:sz w:val="18"/>
                <w:szCs w:val="18"/>
              </w:rPr>
              <w:t>Potential EU Parliament hearing</w:t>
            </w:r>
            <w:r w:rsidRPr="003D42FA">
              <w:rPr>
                <w:color w:val="001753"/>
                <w:sz w:val="18"/>
                <w:szCs w:val="18"/>
              </w:rPr>
              <w:t xml:space="preserve"> </w:t>
            </w:r>
            <w:r w:rsidRPr="003D42FA">
              <w:rPr>
                <w:sz w:val="18"/>
                <w:szCs w:val="18"/>
              </w:rPr>
              <w:t>on Women’s Health during Gender Equality Week, (November).</w:t>
            </w:r>
          </w:p>
          <w:p w14:paraId="356FB520" w14:textId="77777777" w:rsidR="003D42FA" w:rsidRDefault="003D42FA" w:rsidP="003D42FA">
            <w:pPr>
              <w:numPr>
                <w:ilvl w:val="0"/>
                <w:numId w:val="1"/>
              </w:numPr>
              <w:rPr>
                <w:b/>
                <w:bCs/>
                <w:color w:val="002060"/>
                <w:sz w:val="18"/>
                <w:szCs w:val="18"/>
              </w:rPr>
            </w:pPr>
          </w:p>
          <w:p w14:paraId="483F7897" w14:textId="77777777" w:rsidR="007071B9" w:rsidRPr="003D42FA" w:rsidRDefault="007071B9" w:rsidP="003D42FA">
            <w:pPr>
              <w:ind w:left="720"/>
              <w:rPr>
                <w:b/>
                <w:bCs/>
                <w:color w:val="002060"/>
                <w:sz w:val="18"/>
                <w:szCs w:val="18"/>
              </w:rPr>
            </w:pPr>
          </w:p>
          <w:p w14:paraId="521BBFCC" w14:textId="77777777" w:rsidR="007071B9" w:rsidRPr="00382468" w:rsidRDefault="007071B9" w:rsidP="00367B91">
            <w:pPr>
              <w:rPr>
                <w:b/>
                <w:bCs/>
                <w:color w:val="002060"/>
              </w:rPr>
            </w:pPr>
          </w:p>
        </w:tc>
      </w:tr>
      <w:tr w:rsidR="007071B9" w:rsidRPr="00382468" w14:paraId="41C1E3DD" w14:textId="77777777" w:rsidTr="00367B91">
        <w:trPr>
          <w:cantSplit/>
          <w:trHeight w:val="1134"/>
        </w:trPr>
        <w:tc>
          <w:tcPr>
            <w:tcW w:w="352" w:type="dxa"/>
            <w:tcBorders>
              <w:top w:val="single" w:sz="4" w:space="0" w:color="auto"/>
              <w:bottom w:val="single" w:sz="4" w:space="0" w:color="auto"/>
              <w:right w:val="nil"/>
            </w:tcBorders>
            <w:shd w:val="clear" w:color="auto" w:fill="D9F2D0" w:themeFill="accent6" w:themeFillTint="33"/>
            <w:vAlign w:val="center"/>
          </w:tcPr>
          <w:p w14:paraId="62E11836" w14:textId="77777777" w:rsidR="007071B9" w:rsidRPr="00382468" w:rsidRDefault="007071B9" w:rsidP="00367B91">
            <w:pPr>
              <w:jc w:val="center"/>
              <w:rPr>
                <w:b/>
                <w:bCs/>
                <w:color w:val="002060"/>
                <w:sz w:val="18"/>
                <w:szCs w:val="18"/>
              </w:rPr>
            </w:pPr>
            <w:r w:rsidRPr="00382468">
              <w:rPr>
                <w:b/>
                <w:bCs/>
                <w:color w:val="002060"/>
                <w:sz w:val="18"/>
                <w:szCs w:val="18"/>
              </w:rPr>
              <w:t>R</w:t>
            </w:r>
            <w:r w:rsidRPr="00382468">
              <w:rPr>
                <w:b/>
                <w:bCs/>
                <w:color w:val="002060"/>
                <w:sz w:val="18"/>
                <w:szCs w:val="18"/>
              </w:rPr>
              <w:br/>
              <w:t>E</w:t>
            </w:r>
            <w:r w:rsidRPr="00382468">
              <w:rPr>
                <w:b/>
                <w:bCs/>
                <w:color w:val="002060"/>
                <w:sz w:val="18"/>
                <w:szCs w:val="18"/>
              </w:rPr>
              <w:br/>
              <w:t>S</w:t>
            </w:r>
            <w:r w:rsidRPr="00382468">
              <w:rPr>
                <w:b/>
                <w:bCs/>
                <w:color w:val="002060"/>
                <w:sz w:val="18"/>
                <w:szCs w:val="18"/>
              </w:rPr>
              <w:br/>
              <w:t>E</w:t>
            </w:r>
            <w:r w:rsidRPr="00382468">
              <w:rPr>
                <w:b/>
                <w:bCs/>
                <w:color w:val="002060"/>
                <w:sz w:val="18"/>
                <w:szCs w:val="18"/>
              </w:rPr>
              <w:br/>
              <w:t xml:space="preserve">A </w:t>
            </w:r>
            <w:r w:rsidRPr="00382468">
              <w:rPr>
                <w:b/>
                <w:bCs/>
                <w:color w:val="002060"/>
                <w:sz w:val="18"/>
                <w:szCs w:val="18"/>
              </w:rPr>
              <w:br/>
              <w:t>R</w:t>
            </w:r>
            <w:r w:rsidRPr="00382468">
              <w:rPr>
                <w:b/>
                <w:bCs/>
                <w:color w:val="002060"/>
                <w:sz w:val="18"/>
                <w:szCs w:val="18"/>
              </w:rPr>
              <w:br/>
              <w:t>C</w:t>
            </w:r>
            <w:r w:rsidRPr="00382468">
              <w:rPr>
                <w:b/>
                <w:bCs/>
                <w:color w:val="002060"/>
                <w:sz w:val="18"/>
                <w:szCs w:val="18"/>
              </w:rPr>
              <w:br/>
              <w:t>H</w:t>
            </w:r>
          </w:p>
        </w:tc>
        <w:tc>
          <w:tcPr>
            <w:tcW w:w="386" w:type="dxa"/>
            <w:gridSpan w:val="2"/>
            <w:tcBorders>
              <w:top w:val="single" w:sz="4" w:space="0" w:color="auto"/>
              <w:left w:val="nil"/>
              <w:bottom w:val="single" w:sz="4" w:space="0" w:color="auto"/>
            </w:tcBorders>
            <w:shd w:val="clear" w:color="auto" w:fill="D9F2D0" w:themeFill="accent6" w:themeFillTint="33"/>
            <w:vAlign w:val="center"/>
          </w:tcPr>
          <w:p w14:paraId="706AC0E8" w14:textId="77777777" w:rsidR="007071B9" w:rsidRPr="00382468" w:rsidRDefault="007071B9" w:rsidP="00367B91">
            <w:pPr>
              <w:jc w:val="center"/>
              <w:rPr>
                <w:b/>
                <w:bCs/>
                <w:color w:val="002060"/>
                <w:sz w:val="18"/>
                <w:szCs w:val="18"/>
              </w:rPr>
            </w:pPr>
          </w:p>
          <w:p w14:paraId="4A7776B2" w14:textId="77777777" w:rsidR="007071B9" w:rsidRPr="00382468" w:rsidRDefault="007071B9" w:rsidP="00367B91">
            <w:pPr>
              <w:jc w:val="center"/>
              <w:rPr>
                <w:b/>
                <w:bCs/>
                <w:color w:val="002060"/>
                <w:sz w:val="18"/>
                <w:szCs w:val="18"/>
              </w:rPr>
            </w:pPr>
            <w:r w:rsidRPr="00382468">
              <w:rPr>
                <w:b/>
                <w:bCs/>
                <w:color w:val="002060"/>
                <w:sz w:val="18"/>
                <w:szCs w:val="18"/>
              </w:rPr>
              <w:t>K</w:t>
            </w:r>
            <w:r w:rsidRPr="00382468">
              <w:rPr>
                <w:b/>
                <w:bCs/>
                <w:color w:val="002060"/>
                <w:sz w:val="18"/>
                <w:szCs w:val="18"/>
              </w:rPr>
              <w:br/>
              <w:t>N</w:t>
            </w:r>
            <w:r w:rsidRPr="00382468">
              <w:rPr>
                <w:b/>
                <w:bCs/>
                <w:color w:val="002060"/>
                <w:sz w:val="18"/>
                <w:szCs w:val="18"/>
              </w:rPr>
              <w:br/>
              <w:t>O</w:t>
            </w:r>
            <w:r w:rsidRPr="00382468">
              <w:rPr>
                <w:b/>
                <w:bCs/>
                <w:color w:val="002060"/>
                <w:sz w:val="18"/>
                <w:szCs w:val="18"/>
              </w:rPr>
              <w:br/>
              <w:t>W</w:t>
            </w:r>
          </w:p>
          <w:p w14:paraId="64117296" w14:textId="77777777" w:rsidR="007071B9" w:rsidRPr="00382468" w:rsidRDefault="007071B9" w:rsidP="00367B91">
            <w:pPr>
              <w:jc w:val="center"/>
              <w:rPr>
                <w:b/>
                <w:bCs/>
                <w:color w:val="002060"/>
                <w:sz w:val="18"/>
                <w:szCs w:val="18"/>
              </w:rPr>
            </w:pPr>
            <w:r w:rsidRPr="00382468">
              <w:rPr>
                <w:b/>
                <w:bCs/>
                <w:color w:val="002060"/>
                <w:sz w:val="18"/>
                <w:szCs w:val="18"/>
              </w:rPr>
              <w:t>L</w:t>
            </w:r>
          </w:p>
          <w:p w14:paraId="0C65E23A" w14:textId="77777777" w:rsidR="007071B9" w:rsidRPr="00382468" w:rsidRDefault="007071B9" w:rsidP="00367B91">
            <w:pPr>
              <w:jc w:val="center"/>
              <w:rPr>
                <w:b/>
                <w:bCs/>
                <w:color w:val="002060"/>
                <w:sz w:val="18"/>
                <w:szCs w:val="18"/>
              </w:rPr>
            </w:pPr>
            <w:r w:rsidRPr="00382468">
              <w:rPr>
                <w:b/>
                <w:bCs/>
                <w:color w:val="002060"/>
                <w:sz w:val="18"/>
                <w:szCs w:val="18"/>
              </w:rPr>
              <w:t>E</w:t>
            </w:r>
          </w:p>
          <w:p w14:paraId="3BA4769B" w14:textId="77777777" w:rsidR="007071B9" w:rsidRPr="00382468" w:rsidRDefault="007071B9" w:rsidP="00367B91">
            <w:pPr>
              <w:jc w:val="center"/>
              <w:rPr>
                <w:b/>
                <w:bCs/>
                <w:color w:val="002060"/>
                <w:sz w:val="18"/>
                <w:szCs w:val="18"/>
              </w:rPr>
            </w:pPr>
            <w:r w:rsidRPr="00382468">
              <w:rPr>
                <w:b/>
                <w:bCs/>
                <w:color w:val="002060"/>
                <w:sz w:val="18"/>
                <w:szCs w:val="18"/>
              </w:rPr>
              <w:t>D</w:t>
            </w:r>
          </w:p>
          <w:p w14:paraId="2F66E03E" w14:textId="77777777" w:rsidR="007071B9" w:rsidRPr="00382468" w:rsidRDefault="007071B9" w:rsidP="00367B91">
            <w:pPr>
              <w:jc w:val="center"/>
              <w:rPr>
                <w:b/>
                <w:bCs/>
                <w:color w:val="002060"/>
                <w:sz w:val="18"/>
                <w:szCs w:val="18"/>
              </w:rPr>
            </w:pPr>
            <w:r w:rsidRPr="00382468">
              <w:rPr>
                <w:b/>
                <w:bCs/>
                <w:color w:val="002060"/>
                <w:sz w:val="18"/>
                <w:szCs w:val="18"/>
              </w:rPr>
              <w:t>G</w:t>
            </w:r>
          </w:p>
          <w:p w14:paraId="18B56C63" w14:textId="77777777" w:rsidR="007071B9" w:rsidRPr="00382468" w:rsidRDefault="007071B9" w:rsidP="00367B91">
            <w:pPr>
              <w:jc w:val="center"/>
              <w:rPr>
                <w:b/>
                <w:bCs/>
                <w:color w:val="002060"/>
                <w:sz w:val="18"/>
                <w:szCs w:val="18"/>
              </w:rPr>
            </w:pPr>
            <w:r w:rsidRPr="00382468">
              <w:rPr>
                <w:b/>
                <w:bCs/>
                <w:color w:val="002060"/>
                <w:sz w:val="18"/>
                <w:szCs w:val="18"/>
              </w:rPr>
              <w:t>E</w:t>
            </w:r>
          </w:p>
          <w:p w14:paraId="030BDED8" w14:textId="77777777" w:rsidR="007071B9" w:rsidRPr="00382468" w:rsidRDefault="007071B9" w:rsidP="00367B91">
            <w:pPr>
              <w:jc w:val="center"/>
              <w:rPr>
                <w:b/>
                <w:bCs/>
                <w:color w:val="002060"/>
                <w:sz w:val="18"/>
                <w:szCs w:val="18"/>
              </w:rPr>
            </w:pPr>
          </w:p>
        </w:tc>
        <w:tc>
          <w:tcPr>
            <w:tcW w:w="8471" w:type="dxa"/>
            <w:shd w:val="clear" w:color="auto" w:fill="D9F2D0" w:themeFill="accent6" w:themeFillTint="33"/>
            <w:vAlign w:val="center"/>
          </w:tcPr>
          <w:p w14:paraId="7970C5E1" w14:textId="77777777" w:rsidR="007071B9" w:rsidRPr="00382468" w:rsidRDefault="007071B9" w:rsidP="00367B91">
            <w:pPr>
              <w:ind w:left="720"/>
              <w:rPr>
                <w:color w:val="002060"/>
                <w:sz w:val="18"/>
                <w:szCs w:val="18"/>
              </w:rPr>
            </w:pPr>
          </w:p>
          <w:p w14:paraId="76643888" w14:textId="77777777" w:rsidR="007071B9" w:rsidRPr="00382468" w:rsidRDefault="007071B9" w:rsidP="007071B9">
            <w:pPr>
              <w:numPr>
                <w:ilvl w:val="0"/>
                <w:numId w:val="2"/>
              </w:numPr>
              <w:rPr>
                <w:color w:val="002060"/>
                <w:sz w:val="18"/>
                <w:szCs w:val="18"/>
              </w:rPr>
            </w:pPr>
            <w:r w:rsidRPr="00382468">
              <w:rPr>
                <w:color w:val="002060"/>
                <w:sz w:val="18"/>
                <w:szCs w:val="18"/>
              </w:rPr>
              <w:t xml:space="preserve">Completed </w:t>
            </w:r>
            <w:r w:rsidRPr="00382468">
              <w:rPr>
                <w:b/>
                <w:bCs/>
                <w:color w:val="002060"/>
                <w:sz w:val="18"/>
                <w:szCs w:val="18"/>
              </w:rPr>
              <w:t>mapping of good practices</w:t>
            </w:r>
            <w:r w:rsidRPr="00382468">
              <w:rPr>
                <w:color w:val="002060"/>
                <w:sz w:val="18"/>
                <w:szCs w:val="18"/>
              </w:rPr>
              <w:t xml:space="preserve"> in women’s health across six EU countries — providing evidence for policy transfer.</w:t>
            </w:r>
          </w:p>
          <w:p w14:paraId="7DD9AA9F" w14:textId="77777777" w:rsidR="007071B9" w:rsidRPr="00382468" w:rsidRDefault="007071B9" w:rsidP="007071B9">
            <w:pPr>
              <w:numPr>
                <w:ilvl w:val="0"/>
                <w:numId w:val="2"/>
              </w:numPr>
              <w:rPr>
                <w:color w:val="002060"/>
                <w:sz w:val="18"/>
                <w:szCs w:val="18"/>
              </w:rPr>
            </w:pPr>
            <w:r w:rsidRPr="00382468">
              <w:rPr>
                <w:color w:val="002060"/>
                <w:sz w:val="18"/>
                <w:szCs w:val="18"/>
              </w:rPr>
              <w:t>Advanced leadership in major EU research projects:</w:t>
            </w:r>
          </w:p>
          <w:p w14:paraId="22738149" w14:textId="77777777" w:rsidR="007071B9" w:rsidRPr="00382468" w:rsidRDefault="007071B9" w:rsidP="007071B9">
            <w:pPr>
              <w:numPr>
                <w:ilvl w:val="1"/>
                <w:numId w:val="2"/>
              </w:numPr>
              <w:tabs>
                <w:tab w:val="clear" w:pos="1440"/>
                <w:tab w:val="num" w:pos="1133"/>
              </w:tabs>
              <w:rPr>
                <w:color w:val="002060"/>
                <w:sz w:val="18"/>
                <w:szCs w:val="18"/>
              </w:rPr>
            </w:pPr>
            <w:r w:rsidRPr="00382468">
              <w:rPr>
                <w:b/>
                <w:bCs/>
                <w:color w:val="002060"/>
                <w:sz w:val="18"/>
                <w:szCs w:val="18"/>
              </w:rPr>
              <w:t>CBIG-SCREEN</w:t>
            </w:r>
            <w:r w:rsidRPr="00382468">
              <w:rPr>
                <w:color w:val="002060"/>
                <w:sz w:val="18"/>
                <w:szCs w:val="18"/>
              </w:rPr>
              <w:t xml:space="preserve"> – equitable cancer screening.</w:t>
            </w:r>
          </w:p>
          <w:p w14:paraId="44339A2C" w14:textId="77777777" w:rsidR="007071B9" w:rsidRPr="00382468" w:rsidRDefault="007071B9" w:rsidP="007071B9">
            <w:pPr>
              <w:numPr>
                <w:ilvl w:val="1"/>
                <w:numId w:val="2"/>
              </w:numPr>
              <w:tabs>
                <w:tab w:val="clear" w:pos="1440"/>
                <w:tab w:val="num" w:pos="1133"/>
              </w:tabs>
              <w:rPr>
                <w:color w:val="002060"/>
                <w:sz w:val="18"/>
                <w:szCs w:val="18"/>
              </w:rPr>
            </w:pPr>
            <w:r w:rsidRPr="00382468">
              <w:rPr>
                <w:b/>
                <w:bCs/>
                <w:color w:val="002060"/>
                <w:sz w:val="18"/>
                <w:szCs w:val="18"/>
              </w:rPr>
              <w:t>Spiomet4Health</w:t>
            </w:r>
            <w:r w:rsidRPr="00382468">
              <w:rPr>
                <w:color w:val="002060"/>
                <w:sz w:val="18"/>
                <w:szCs w:val="18"/>
              </w:rPr>
              <w:t xml:space="preserve"> – PCOS &amp; metabolic health.</w:t>
            </w:r>
          </w:p>
          <w:p w14:paraId="0AAE5CDC" w14:textId="77777777" w:rsidR="007071B9" w:rsidRPr="00382468" w:rsidRDefault="007071B9" w:rsidP="007071B9">
            <w:pPr>
              <w:numPr>
                <w:ilvl w:val="1"/>
                <w:numId w:val="2"/>
              </w:numPr>
              <w:tabs>
                <w:tab w:val="clear" w:pos="1440"/>
                <w:tab w:val="num" w:pos="1133"/>
              </w:tabs>
              <w:rPr>
                <w:color w:val="002060"/>
                <w:sz w:val="18"/>
                <w:szCs w:val="18"/>
              </w:rPr>
            </w:pPr>
            <w:r w:rsidRPr="00382468">
              <w:rPr>
                <w:b/>
                <w:bCs/>
                <w:color w:val="002060"/>
                <w:sz w:val="18"/>
                <w:szCs w:val="18"/>
              </w:rPr>
              <w:t>Real4Reg</w:t>
            </w:r>
            <w:r w:rsidRPr="00382468">
              <w:rPr>
                <w:color w:val="002060"/>
                <w:sz w:val="18"/>
                <w:szCs w:val="18"/>
              </w:rPr>
              <w:t xml:space="preserve"> – patient-centred regulatory science.</w:t>
            </w:r>
          </w:p>
          <w:p w14:paraId="5E2D135A" w14:textId="77777777" w:rsidR="007071B9" w:rsidRPr="00382468" w:rsidRDefault="007071B9" w:rsidP="007071B9">
            <w:pPr>
              <w:numPr>
                <w:ilvl w:val="1"/>
                <w:numId w:val="2"/>
              </w:numPr>
              <w:tabs>
                <w:tab w:val="clear" w:pos="1440"/>
                <w:tab w:val="num" w:pos="1133"/>
              </w:tabs>
              <w:rPr>
                <w:color w:val="002060"/>
                <w:sz w:val="18"/>
                <w:szCs w:val="18"/>
              </w:rPr>
            </w:pPr>
            <w:r w:rsidRPr="00382468">
              <w:rPr>
                <w:b/>
                <w:bCs/>
                <w:color w:val="002060"/>
                <w:sz w:val="18"/>
                <w:szCs w:val="18"/>
              </w:rPr>
              <w:t>HPV-Faster</w:t>
            </w:r>
            <w:r w:rsidRPr="00382468">
              <w:rPr>
                <w:color w:val="002060"/>
                <w:sz w:val="18"/>
                <w:szCs w:val="18"/>
              </w:rPr>
              <w:t xml:space="preserve"> – HPV vaccination acceleration among underserved groups of women and girls.</w:t>
            </w:r>
          </w:p>
          <w:p w14:paraId="024C3CB7" w14:textId="77777777" w:rsidR="007071B9" w:rsidRPr="00382468" w:rsidRDefault="007071B9" w:rsidP="00367B91">
            <w:pPr>
              <w:ind w:left="720"/>
              <w:rPr>
                <w:color w:val="002060"/>
                <w:sz w:val="20"/>
                <w:szCs w:val="20"/>
              </w:rPr>
            </w:pPr>
          </w:p>
        </w:tc>
      </w:tr>
      <w:tr w:rsidR="007071B9" w:rsidRPr="00382468" w14:paraId="69C57558" w14:textId="77777777" w:rsidTr="00367B91">
        <w:trPr>
          <w:cantSplit/>
          <w:trHeight w:val="1134"/>
        </w:trPr>
        <w:tc>
          <w:tcPr>
            <w:tcW w:w="369" w:type="dxa"/>
            <w:gridSpan w:val="2"/>
            <w:tcBorders>
              <w:right w:val="nil"/>
            </w:tcBorders>
            <w:shd w:val="clear" w:color="auto" w:fill="FAE2D5" w:themeFill="accent2" w:themeFillTint="33"/>
            <w:vAlign w:val="center"/>
          </w:tcPr>
          <w:p w14:paraId="464F75A5" w14:textId="77777777" w:rsidR="007071B9" w:rsidRPr="00382468" w:rsidRDefault="007071B9" w:rsidP="00367B91">
            <w:pPr>
              <w:jc w:val="center"/>
              <w:rPr>
                <w:b/>
                <w:bCs/>
                <w:color w:val="002060"/>
                <w:sz w:val="18"/>
                <w:szCs w:val="18"/>
              </w:rPr>
            </w:pPr>
          </w:p>
          <w:p w14:paraId="71611C0C" w14:textId="77777777" w:rsidR="007071B9" w:rsidRPr="00382468" w:rsidRDefault="007071B9" w:rsidP="00367B91">
            <w:pPr>
              <w:jc w:val="center"/>
              <w:rPr>
                <w:b/>
                <w:bCs/>
                <w:color w:val="002060"/>
                <w:sz w:val="18"/>
                <w:szCs w:val="18"/>
              </w:rPr>
            </w:pPr>
            <w:r w:rsidRPr="00382468">
              <w:rPr>
                <w:b/>
                <w:bCs/>
                <w:color w:val="002060"/>
                <w:sz w:val="18"/>
                <w:szCs w:val="18"/>
              </w:rPr>
              <w:t>P</w:t>
            </w:r>
            <w:r w:rsidRPr="00382468">
              <w:rPr>
                <w:b/>
                <w:bCs/>
                <w:color w:val="002060"/>
                <w:sz w:val="18"/>
                <w:szCs w:val="18"/>
              </w:rPr>
              <w:br/>
              <w:t>A</w:t>
            </w:r>
            <w:r w:rsidRPr="00382468">
              <w:rPr>
                <w:b/>
                <w:bCs/>
                <w:color w:val="002060"/>
                <w:sz w:val="18"/>
                <w:szCs w:val="18"/>
              </w:rPr>
              <w:br/>
              <w:t>R</w:t>
            </w:r>
          </w:p>
          <w:p w14:paraId="357DE1C9" w14:textId="77777777" w:rsidR="007071B9" w:rsidRPr="00382468" w:rsidRDefault="007071B9" w:rsidP="00367B91">
            <w:pPr>
              <w:jc w:val="center"/>
              <w:rPr>
                <w:b/>
                <w:bCs/>
                <w:color w:val="002060"/>
                <w:sz w:val="18"/>
                <w:szCs w:val="18"/>
              </w:rPr>
            </w:pPr>
            <w:r w:rsidRPr="00382468">
              <w:rPr>
                <w:b/>
                <w:bCs/>
                <w:color w:val="002060"/>
                <w:sz w:val="18"/>
                <w:szCs w:val="18"/>
              </w:rPr>
              <w:t>T</w:t>
            </w:r>
            <w:r w:rsidRPr="00382468">
              <w:rPr>
                <w:b/>
                <w:bCs/>
                <w:color w:val="002060"/>
                <w:sz w:val="18"/>
                <w:szCs w:val="18"/>
              </w:rPr>
              <w:br/>
              <w:t>N</w:t>
            </w:r>
          </w:p>
          <w:p w14:paraId="394BA560" w14:textId="77777777" w:rsidR="007071B9" w:rsidRPr="00382468" w:rsidRDefault="007071B9" w:rsidP="00367B91">
            <w:pPr>
              <w:jc w:val="center"/>
              <w:rPr>
                <w:b/>
                <w:bCs/>
                <w:color w:val="002060"/>
                <w:sz w:val="18"/>
                <w:szCs w:val="18"/>
              </w:rPr>
            </w:pPr>
            <w:r w:rsidRPr="00382468">
              <w:rPr>
                <w:b/>
                <w:bCs/>
                <w:color w:val="002060"/>
                <w:sz w:val="18"/>
                <w:szCs w:val="18"/>
              </w:rPr>
              <w:t>E</w:t>
            </w:r>
          </w:p>
          <w:p w14:paraId="2614270C" w14:textId="77777777" w:rsidR="007071B9" w:rsidRPr="00382468" w:rsidRDefault="007071B9" w:rsidP="00367B91">
            <w:pPr>
              <w:jc w:val="center"/>
              <w:rPr>
                <w:b/>
                <w:bCs/>
                <w:color w:val="002060"/>
                <w:sz w:val="18"/>
                <w:szCs w:val="18"/>
              </w:rPr>
            </w:pPr>
            <w:r w:rsidRPr="00382468">
              <w:rPr>
                <w:b/>
                <w:bCs/>
                <w:color w:val="002060"/>
                <w:sz w:val="18"/>
                <w:szCs w:val="18"/>
              </w:rPr>
              <w:t>R</w:t>
            </w:r>
          </w:p>
          <w:p w14:paraId="6E2AC2A9" w14:textId="77777777" w:rsidR="007071B9" w:rsidRPr="00382468" w:rsidRDefault="007071B9" w:rsidP="00367B91">
            <w:pPr>
              <w:jc w:val="center"/>
              <w:rPr>
                <w:b/>
                <w:bCs/>
                <w:color w:val="002060"/>
                <w:sz w:val="18"/>
                <w:szCs w:val="18"/>
              </w:rPr>
            </w:pPr>
            <w:r w:rsidRPr="00382468">
              <w:rPr>
                <w:b/>
                <w:bCs/>
                <w:color w:val="002060"/>
                <w:sz w:val="18"/>
                <w:szCs w:val="18"/>
              </w:rPr>
              <w:t>S</w:t>
            </w:r>
          </w:p>
          <w:p w14:paraId="797ABC49" w14:textId="77777777" w:rsidR="007071B9" w:rsidRPr="00382468" w:rsidRDefault="007071B9" w:rsidP="00367B91">
            <w:pPr>
              <w:jc w:val="center"/>
              <w:rPr>
                <w:b/>
                <w:bCs/>
                <w:color w:val="002060"/>
                <w:sz w:val="18"/>
                <w:szCs w:val="18"/>
              </w:rPr>
            </w:pPr>
            <w:r w:rsidRPr="00382468">
              <w:rPr>
                <w:b/>
                <w:bCs/>
                <w:color w:val="002060"/>
                <w:sz w:val="18"/>
                <w:szCs w:val="18"/>
              </w:rPr>
              <w:t>H</w:t>
            </w:r>
          </w:p>
          <w:p w14:paraId="74963620" w14:textId="77777777" w:rsidR="007071B9" w:rsidRPr="00382468" w:rsidRDefault="007071B9" w:rsidP="00367B91">
            <w:pPr>
              <w:jc w:val="center"/>
              <w:rPr>
                <w:b/>
                <w:bCs/>
                <w:color w:val="002060"/>
                <w:sz w:val="18"/>
                <w:szCs w:val="18"/>
              </w:rPr>
            </w:pPr>
            <w:r w:rsidRPr="00382468">
              <w:rPr>
                <w:b/>
                <w:bCs/>
                <w:color w:val="002060"/>
                <w:sz w:val="18"/>
                <w:szCs w:val="18"/>
              </w:rPr>
              <w:t>I</w:t>
            </w:r>
          </w:p>
          <w:p w14:paraId="41A76256" w14:textId="77777777" w:rsidR="007071B9" w:rsidRPr="00382468" w:rsidRDefault="007071B9" w:rsidP="00367B91">
            <w:pPr>
              <w:jc w:val="center"/>
              <w:rPr>
                <w:b/>
                <w:bCs/>
                <w:color w:val="002060"/>
                <w:sz w:val="18"/>
                <w:szCs w:val="18"/>
              </w:rPr>
            </w:pPr>
            <w:r w:rsidRPr="00382468">
              <w:rPr>
                <w:b/>
                <w:bCs/>
                <w:color w:val="002060"/>
                <w:sz w:val="18"/>
                <w:szCs w:val="18"/>
              </w:rPr>
              <w:t>P</w:t>
            </w:r>
          </w:p>
          <w:p w14:paraId="4D7448B2" w14:textId="77777777" w:rsidR="007071B9" w:rsidRPr="00382468" w:rsidRDefault="007071B9" w:rsidP="00367B91">
            <w:pPr>
              <w:jc w:val="center"/>
              <w:rPr>
                <w:b/>
                <w:bCs/>
                <w:color w:val="002060"/>
                <w:sz w:val="18"/>
                <w:szCs w:val="18"/>
              </w:rPr>
            </w:pPr>
            <w:r w:rsidRPr="00382468">
              <w:rPr>
                <w:b/>
                <w:bCs/>
                <w:color w:val="002060"/>
                <w:sz w:val="18"/>
                <w:szCs w:val="18"/>
              </w:rPr>
              <w:t>S</w:t>
            </w:r>
          </w:p>
          <w:p w14:paraId="0115AB23" w14:textId="77777777" w:rsidR="007071B9" w:rsidRPr="00382468" w:rsidRDefault="007071B9" w:rsidP="00367B91">
            <w:pPr>
              <w:jc w:val="center"/>
              <w:rPr>
                <w:b/>
                <w:bCs/>
                <w:color w:val="002060"/>
                <w:sz w:val="18"/>
                <w:szCs w:val="18"/>
              </w:rPr>
            </w:pPr>
          </w:p>
        </w:tc>
        <w:tc>
          <w:tcPr>
            <w:tcW w:w="369" w:type="dxa"/>
            <w:tcBorders>
              <w:left w:val="nil"/>
            </w:tcBorders>
            <w:shd w:val="clear" w:color="auto" w:fill="FAE2D5" w:themeFill="accent2" w:themeFillTint="33"/>
            <w:vAlign w:val="center"/>
          </w:tcPr>
          <w:p w14:paraId="3753025B" w14:textId="77777777" w:rsidR="007071B9" w:rsidRPr="00382468" w:rsidRDefault="007071B9" w:rsidP="00367B91">
            <w:pPr>
              <w:jc w:val="center"/>
              <w:rPr>
                <w:b/>
                <w:bCs/>
                <w:color w:val="002060"/>
                <w:sz w:val="18"/>
                <w:szCs w:val="18"/>
              </w:rPr>
            </w:pPr>
          </w:p>
          <w:p w14:paraId="068E3016" w14:textId="77777777" w:rsidR="007071B9" w:rsidRPr="00382468" w:rsidRDefault="007071B9" w:rsidP="00367B91">
            <w:pPr>
              <w:jc w:val="center"/>
              <w:rPr>
                <w:b/>
                <w:bCs/>
                <w:color w:val="002060"/>
                <w:sz w:val="18"/>
                <w:szCs w:val="18"/>
              </w:rPr>
            </w:pPr>
            <w:r w:rsidRPr="00382468">
              <w:rPr>
                <w:b/>
                <w:bCs/>
                <w:color w:val="002060"/>
                <w:sz w:val="18"/>
                <w:szCs w:val="18"/>
              </w:rPr>
              <w:t>A</w:t>
            </w:r>
          </w:p>
          <w:p w14:paraId="17D75E76" w14:textId="77777777" w:rsidR="007071B9" w:rsidRPr="00382468" w:rsidRDefault="007071B9" w:rsidP="00367B91">
            <w:pPr>
              <w:jc w:val="center"/>
              <w:rPr>
                <w:b/>
                <w:bCs/>
                <w:color w:val="002060"/>
                <w:sz w:val="18"/>
                <w:szCs w:val="18"/>
              </w:rPr>
            </w:pPr>
            <w:r w:rsidRPr="00382468">
              <w:rPr>
                <w:b/>
                <w:bCs/>
                <w:color w:val="002060"/>
                <w:sz w:val="18"/>
                <w:szCs w:val="18"/>
              </w:rPr>
              <w:t>L</w:t>
            </w:r>
          </w:p>
          <w:p w14:paraId="3C4F9DA0" w14:textId="77777777" w:rsidR="007071B9" w:rsidRPr="00382468" w:rsidRDefault="007071B9" w:rsidP="00367B91">
            <w:pPr>
              <w:jc w:val="center"/>
              <w:rPr>
                <w:b/>
                <w:bCs/>
                <w:color w:val="002060"/>
                <w:sz w:val="18"/>
                <w:szCs w:val="18"/>
              </w:rPr>
            </w:pPr>
            <w:r w:rsidRPr="00382468">
              <w:rPr>
                <w:b/>
                <w:bCs/>
                <w:color w:val="002060"/>
                <w:sz w:val="18"/>
                <w:szCs w:val="18"/>
              </w:rPr>
              <w:t>L</w:t>
            </w:r>
          </w:p>
          <w:p w14:paraId="555EC4E9" w14:textId="77777777" w:rsidR="007071B9" w:rsidRPr="00382468" w:rsidRDefault="007071B9" w:rsidP="00367B91">
            <w:pPr>
              <w:jc w:val="center"/>
              <w:rPr>
                <w:b/>
                <w:bCs/>
                <w:color w:val="002060"/>
                <w:sz w:val="18"/>
                <w:szCs w:val="18"/>
              </w:rPr>
            </w:pPr>
            <w:r w:rsidRPr="00382468">
              <w:rPr>
                <w:b/>
                <w:bCs/>
                <w:color w:val="002060"/>
                <w:sz w:val="18"/>
                <w:szCs w:val="18"/>
              </w:rPr>
              <w:t>I</w:t>
            </w:r>
          </w:p>
          <w:p w14:paraId="2FB50AEB" w14:textId="77777777" w:rsidR="007071B9" w:rsidRPr="00382468" w:rsidRDefault="007071B9" w:rsidP="00367B91">
            <w:pPr>
              <w:jc w:val="center"/>
              <w:rPr>
                <w:b/>
                <w:bCs/>
                <w:color w:val="002060"/>
                <w:sz w:val="18"/>
                <w:szCs w:val="18"/>
              </w:rPr>
            </w:pPr>
            <w:r w:rsidRPr="00382468">
              <w:rPr>
                <w:b/>
                <w:bCs/>
                <w:color w:val="002060"/>
                <w:sz w:val="18"/>
                <w:szCs w:val="18"/>
              </w:rPr>
              <w:t>A</w:t>
            </w:r>
          </w:p>
          <w:p w14:paraId="4F709EE7" w14:textId="77777777" w:rsidR="007071B9" w:rsidRPr="00382468" w:rsidRDefault="007071B9" w:rsidP="00367B91">
            <w:pPr>
              <w:jc w:val="center"/>
              <w:rPr>
                <w:b/>
                <w:bCs/>
                <w:color w:val="002060"/>
                <w:sz w:val="18"/>
                <w:szCs w:val="18"/>
              </w:rPr>
            </w:pPr>
            <w:r w:rsidRPr="00382468">
              <w:rPr>
                <w:b/>
                <w:bCs/>
                <w:color w:val="002060"/>
                <w:sz w:val="18"/>
                <w:szCs w:val="18"/>
              </w:rPr>
              <w:t>N</w:t>
            </w:r>
          </w:p>
          <w:p w14:paraId="2E8CF356" w14:textId="77777777" w:rsidR="007071B9" w:rsidRPr="00382468" w:rsidRDefault="007071B9" w:rsidP="00367B91">
            <w:pPr>
              <w:jc w:val="center"/>
              <w:rPr>
                <w:b/>
                <w:bCs/>
                <w:color w:val="002060"/>
                <w:sz w:val="18"/>
                <w:szCs w:val="18"/>
              </w:rPr>
            </w:pPr>
            <w:r w:rsidRPr="00382468">
              <w:rPr>
                <w:b/>
                <w:bCs/>
                <w:color w:val="002060"/>
                <w:sz w:val="18"/>
                <w:szCs w:val="18"/>
              </w:rPr>
              <w:t>C</w:t>
            </w:r>
          </w:p>
          <w:p w14:paraId="706007E6" w14:textId="77777777" w:rsidR="007071B9" w:rsidRPr="00382468" w:rsidRDefault="007071B9" w:rsidP="00367B91">
            <w:pPr>
              <w:jc w:val="center"/>
              <w:rPr>
                <w:b/>
                <w:bCs/>
                <w:color w:val="002060"/>
                <w:sz w:val="18"/>
                <w:szCs w:val="18"/>
              </w:rPr>
            </w:pPr>
            <w:r w:rsidRPr="00382468">
              <w:rPr>
                <w:b/>
                <w:bCs/>
                <w:color w:val="002060"/>
                <w:sz w:val="18"/>
                <w:szCs w:val="18"/>
              </w:rPr>
              <w:t>E</w:t>
            </w:r>
          </w:p>
          <w:p w14:paraId="2F1C04B5" w14:textId="77777777" w:rsidR="007071B9" w:rsidRPr="00382468" w:rsidRDefault="007071B9" w:rsidP="00367B91">
            <w:pPr>
              <w:jc w:val="center"/>
              <w:rPr>
                <w:b/>
                <w:bCs/>
                <w:color w:val="002060"/>
                <w:sz w:val="18"/>
                <w:szCs w:val="18"/>
              </w:rPr>
            </w:pPr>
            <w:r w:rsidRPr="00382468">
              <w:rPr>
                <w:b/>
                <w:bCs/>
                <w:color w:val="002060"/>
                <w:sz w:val="18"/>
                <w:szCs w:val="18"/>
              </w:rPr>
              <w:t>S</w:t>
            </w:r>
          </w:p>
        </w:tc>
        <w:tc>
          <w:tcPr>
            <w:tcW w:w="8471" w:type="dxa"/>
            <w:shd w:val="clear" w:color="auto" w:fill="FAE2D5" w:themeFill="accent2" w:themeFillTint="33"/>
            <w:vAlign w:val="center"/>
          </w:tcPr>
          <w:p w14:paraId="60ED5ADC" w14:textId="77777777" w:rsidR="007071B9" w:rsidRPr="00382468" w:rsidRDefault="007071B9" w:rsidP="00367B91">
            <w:pPr>
              <w:ind w:left="720"/>
              <w:rPr>
                <w:color w:val="002060"/>
                <w:sz w:val="18"/>
                <w:szCs w:val="18"/>
              </w:rPr>
            </w:pPr>
          </w:p>
          <w:p w14:paraId="0CC3923A" w14:textId="77777777" w:rsidR="007071B9" w:rsidRPr="00382468" w:rsidRDefault="007071B9" w:rsidP="007071B9">
            <w:pPr>
              <w:numPr>
                <w:ilvl w:val="0"/>
                <w:numId w:val="3"/>
              </w:numPr>
              <w:rPr>
                <w:color w:val="002060"/>
                <w:sz w:val="18"/>
                <w:szCs w:val="18"/>
              </w:rPr>
            </w:pPr>
            <w:r w:rsidRPr="00382468">
              <w:rPr>
                <w:color w:val="002060"/>
                <w:sz w:val="18"/>
                <w:szCs w:val="18"/>
              </w:rPr>
              <w:t xml:space="preserve">Signed a </w:t>
            </w:r>
            <w:r w:rsidRPr="00382468">
              <w:rPr>
                <w:b/>
                <w:bCs/>
                <w:color w:val="002060"/>
                <w:sz w:val="18"/>
                <w:szCs w:val="18"/>
              </w:rPr>
              <w:t>collaboration agreement with WHO Academy (2026)</w:t>
            </w:r>
            <w:r w:rsidRPr="00382468">
              <w:rPr>
                <w:color w:val="002060"/>
                <w:sz w:val="18"/>
                <w:szCs w:val="18"/>
              </w:rPr>
              <w:t xml:space="preserve"> to embed gender inclusiveness in </w:t>
            </w:r>
            <w:r>
              <w:rPr>
                <w:color w:val="002060"/>
                <w:sz w:val="18"/>
                <w:szCs w:val="18"/>
              </w:rPr>
              <w:t>e-</w:t>
            </w:r>
            <w:r w:rsidRPr="00382468">
              <w:rPr>
                <w:color w:val="002060"/>
                <w:sz w:val="18"/>
                <w:szCs w:val="18"/>
              </w:rPr>
              <w:t>health leadership training.</w:t>
            </w:r>
          </w:p>
          <w:p w14:paraId="45CD688D" w14:textId="77777777" w:rsidR="007071B9" w:rsidRPr="00382468" w:rsidRDefault="007071B9" w:rsidP="007071B9">
            <w:pPr>
              <w:numPr>
                <w:ilvl w:val="0"/>
                <w:numId w:val="3"/>
              </w:numPr>
              <w:rPr>
                <w:color w:val="002060"/>
                <w:sz w:val="18"/>
                <w:szCs w:val="18"/>
              </w:rPr>
            </w:pPr>
            <w:r w:rsidRPr="00382468">
              <w:rPr>
                <w:color w:val="002060"/>
                <w:sz w:val="18"/>
                <w:szCs w:val="18"/>
              </w:rPr>
              <w:t xml:space="preserve">Expanded leadership roles in major networks: </w:t>
            </w:r>
            <w:r w:rsidRPr="00382468">
              <w:rPr>
                <w:b/>
                <w:bCs/>
                <w:color w:val="002060"/>
                <w:sz w:val="18"/>
                <w:szCs w:val="18"/>
              </w:rPr>
              <w:t>EU Alliance for Cardiovascular Health (EACH), EU Vaccine Coalition, Sante HTA Network, HIV Alliance, Fertility Coalition.</w:t>
            </w:r>
          </w:p>
          <w:p w14:paraId="7430CCE0" w14:textId="77777777" w:rsidR="007071B9" w:rsidRPr="00382468" w:rsidRDefault="007071B9" w:rsidP="007071B9">
            <w:pPr>
              <w:numPr>
                <w:ilvl w:val="0"/>
                <w:numId w:val="3"/>
              </w:numPr>
              <w:rPr>
                <w:color w:val="002060"/>
                <w:sz w:val="18"/>
                <w:szCs w:val="18"/>
              </w:rPr>
            </w:pPr>
            <w:r w:rsidRPr="00382468">
              <w:rPr>
                <w:color w:val="002060"/>
                <w:sz w:val="18"/>
                <w:szCs w:val="18"/>
              </w:rPr>
              <w:t xml:space="preserve">Deepened international collaboration with </w:t>
            </w:r>
            <w:r w:rsidRPr="00382468">
              <w:rPr>
                <w:b/>
                <w:bCs/>
                <w:color w:val="002060"/>
                <w:sz w:val="18"/>
                <w:szCs w:val="18"/>
              </w:rPr>
              <w:t>IWK Health (Canada)</w:t>
            </w:r>
            <w:r w:rsidRPr="00382468">
              <w:rPr>
                <w:color w:val="002060"/>
                <w:sz w:val="18"/>
                <w:szCs w:val="18"/>
              </w:rPr>
              <w:t xml:space="preserve"> on a Canadian Women’s Health Strategy.</w:t>
            </w:r>
          </w:p>
          <w:p w14:paraId="0F309D8C" w14:textId="77777777" w:rsidR="007071B9" w:rsidRPr="00382468" w:rsidRDefault="007071B9" w:rsidP="007071B9">
            <w:pPr>
              <w:numPr>
                <w:ilvl w:val="0"/>
                <w:numId w:val="3"/>
              </w:numPr>
              <w:rPr>
                <w:color w:val="002060"/>
                <w:sz w:val="18"/>
                <w:szCs w:val="18"/>
              </w:rPr>
            </w:pPr>
            <w:r w:rsidRPr="00382468">
              <w:rPr>
                <w:color w:val="002060"/>
                <w:sz w:val="18"/>
                <w:szCs w:val="18"/>
              </w:rPr>
              <w:t xml:space="preserve">Strengthened advocacy reach through </w:t>
            </w:r>
            <w:r w:rsidRPr="00382468">
              <w:rPr>
                <w:b/>
                <w:bCs/>
                <w:color w:val="002060"/>
                <w:sz w:val="18"/>
                <w:szCs w:val="18"/>
              </w:rPr>
              <w:t xml:space="preserve">new partnership </w:t>
            </w:r>
            <w:r w:rsidRPr="00382468">
              <w:rPr>
                <w:color w:val="002060"/>
                <w:sz w:val="18"/>
                <w:szCs w:val="18"/>
              </w:rPr>
              <w:t>to integrate inclusive health approaches.</w:t>
            </w:r>
          </w:p>
          <w:p w14:paraId="5718B430" w14:textId="77777777" w:rsidR="007071B9" w:rsidRPr="00382468" w:rsidRDefault="007071B9" w:rsidP="00367B91">
            <w:pPr>
              <w:ind w:left="720"/>
              <w:rPr>
                <w:color w:val="002060"/>
                <w:sz w:val="18"/>
                <w:szCs w:val="18"/>
              </w:rPr>
            </w:pPr>
          </w:p>
        </w:tc>
      </w:tr>
      <w:tr w:rsidR="007071B9" w:rsidRPr="00382468" w14:paraId="13533E10" w14:textId="77777777" w:rsidTr="00367B91">
        <w:trPr>
          <w:cantSplit/>
          <w:trHeight w:val="1134"/>
        </w:trPr>
        <w:tc>
          <w:tcPr>
            <w:tcW w:w="369" w:type="dxa"/>
            <w:gridSpan w:val="2"/>
            <w:tcBorders>
              <w:right w:val="nil"/>
            </w:tcBorders>
            <w:shd w:val="clear" w:color="auto" w:fill="DAE9F7" w:themeFill="text2" w:themeFillTint="1A"/>
            <w:vAlign w:val="center"/>
          </w:tcPr>
          <w:p w14:paraId="57339DFD" w14:textId="77777777" w:rsidR="007071B9" w:rsidRPr="00382468" w:rsidRDefault="007071B9" w:rsidP="00367B91">
            <w:pPr>
              <w:jc w:val="center"/>
              <w:rPr>
                <w:b/>
                <w:bCs/>
                <w:color w:val="002060"/>
                <w:sz w:val="18"/>
                <w:szCs w:val="18"/>
              </w:rPr>
            </w:pPr>
            <w:r w:rsidRPr="00382468">
              <w:rPr>
                <w:b/>
                <w:bCs/>
                <w:color w:val="002060"/>
                <w:sz w:val="18"/>
                <w:szCs w:val="18"/>
              </w:rPr>
              <w:lastRenderedPageBreak/>
              <w:t>E</w:t>
            </w:r>
          </w:p>
          <w:p w14:paraId="7240D7C3" w14:textId="77777777" w:rsidR="007071B9" w:rsidRPr="00382468" w:rsidRDefault="007071B9" w:rsidP="00367B91">
            <w:pPr>
              <w:jc w:val="center"/>
              <w:rPr>
                <w:b/>
                <w:bCs/>
                <w:color w:val="002060"/>
                <w:sz w:val="18"/>
                <w:szCs w:val="18"/>
              </w:rPr>
            </w:pPr>
            <w:r w:rsidRPr="00382468">
              <w:rPr>
                <w:b/>
                <w:bCs/>
                <w:color w:val="002060"/>
                <w:sz w:val="18"/>
                <w:szCs w:val="18"/>
              </w:rPr>
              <w:t>U</w:t>
            </w:r>
          </w:p>
          <w:p w14:paraId="3CA24069" w14:textId="77777777" w:rsidR="007071B9" w:rsidRPr="00382468" w:rsidRDefault="007071B9" w:rsidP="00367B91">
            <w:pPr>
              <w:jc w:val="center"/>
              <w:rPr>
                <w:b/>
                <w:bCs/>
                <w:color w:val="002060"/>
                <w:sz w:val="18"/>
                <w:szCs w:val="18"/>
              </w:rPr>
            </w:pPr>
            <w:r w:rsidRPr="00382468">
              <w:rPr>
                <w:b/>
                <w:bCs/>
                <w:color w:val="002060"/>
                <w:sz w:val="18"/>
                <w:szCs w:val="18"/>
              </w:rPr>
              <w:t>R</w:t>
            </w:r>
          </w:p>
          <w:p w14:paraId="378DDDA1" w14:textId="77777777" w:rsidR="007071B9" w:rsidRPr="00382468" w:rsidRDefault="007071B9" w:rsidP="00367B91">
            <w:pPr>
              <w:jc w:val="center"/>
              <w:rPr>
                <w:b/>
                <w:bCs/>
                <w:color w:val="002060"/>
                <w:sz w:val="18"/>
                <w:szCs w:val="18"/>
              </w:rPr>
            </w:pPr>
            <w:r w:rsidRPr="00382468">
              <w:rPr>
                <w:b/>
                <w:bCs/>
                <w:color w:val="002060"/>
                <w:sz w:val="18"/>
                <w:szCs w:val="18"/>
              </w:rPr>
              <w:t>O</w:t>
            </w:r>
          </w:p>
          <w:p w14:paraId="587C2907" w14:textId="77777777" w:rsidR="007071B9" w:rsidRPr="00382468" w:rsidRDefault="007071B9" w:rsidP="00367B91">
            <w:pPr>
              <w:rPr>
                <w:b/>
                <w:bCs/>
                <w:color w:val="002060"/>
                <w:sz w:val="18"/>
                <w:szCs w:val="18"/>
              </w:rPr>
            </w:pPr>
            <w:r w:rsidRPr="00382468">
              <w:rPr>
                <w:b/>
                <w:bCs/>
                <w:color w:val="002060"/>
                <w:sz w:val="18"/>
                <w:szCs w:val="18"/>
              </w:rPr>
              <w:t>P</w:t>
            </w:r>
          </w:p>
          <w:p w14:paraId="2E3ECC95" w14:textId="77777777" w:rsidR="007071B9" w:rsidRPr="00382468" w:rsidRDefault="007071B9" w:rsidP="00367B91">
            <w:pPr>
              <w:rPr>
                <w:b/>
                <w:bCs/>
                <w:color w:val="002060"/>
                <w:sz w:val="18"/>
                <w:szCs w:val="18"/>
              </w:rPr>
            </w:pPr>
            <w:r w:rsidRPr="00382468">
              <w:rPr>
                <w:b/>
                <w:bCs/>
                <w:color w:val="002060"/>
                <w:sz w:val="18"/>
                <w:szCs w:val="18"/>
              </w:rPr>
              <w:t>E</w:t>
            </w:r>
          </w:p>
        </w:tc>
        <w:tc>
          <w:tcPr>
            <w:tcW w:w="369" w:type="dxa"/>
            <w:tcBorders>
              <w:left w:val="nil"/>
            </w:tcBorders>
            <w:shd w:val="clear" w:color="auto" w:fill="DAE9F7" w:themeFill="text2" w:themeFillTint="1A"/>
            <w:vAlign w:val="center"/>
          </w:tcPr>
          <w:p w14:paraId="3A3B3E34" w14:textId="77777777" w:rsidR="007071B9" w:rsidRPr="00382468" w:rsidRDefault="007071B9" w:rsidP="00367B91">
            <w:pPr>
              <w:jc w:val="center"/>
              <w:rPr>
                <w:b/>
                <w:bCs/>
                <w:color w:val="002060"/>
                <w:sz w:val="18"/>
                <w:szCs w:val="18"/>
                <w:lang w:val="fr-BE"/>
              </w:rPr>
            </w:pPr>
          </w:p>
          <w:p w14:paraId="0DCE3513"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I</w:t>
            </w:r>
          </w:p>
          <w:p w14:paraId="3AD6C7C2"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N</w:t>
            </w:r>
          </w:p>
          <w:p w14:paraId="5CBA3D9C"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T</w:t>
            </w:r>
          </w:p>
          <w:p w14:paraId="6FDA653B"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E</w:t>
            </w:r>
          </w:p>
          <w:p w14:paraId="286A874A"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R</w:t>
            </w:r>
          </w:p>
          <w:p w14:paraId="19D4E94B"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N</w:t>
            </w:r>
          </w:p>
          <w:p w14:paraId="180699B2"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A</w:t>
            </w:r>
          </w:p>
          <w:p w14:paraId="50430506"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T</w:t>
            </w:r>
          </w:p>
          <w:p w14:paraId="36249C55"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I</w:t>
            </w:r>
          </w:p>
          <w:p w14:paraId="358E4AF6"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O</w:t>
            </w:r>
          </w:p>
          <w:p w14:paraId="2EDE904B" w14:textId="77777777" w:rsidR="007071B9" w:rsidRPr="00382468" w:rsidRDefault="007071B9" w:rsidP="00367B91">
            <w:pPr>
              <w:jc w:val="center"/>
              <w:rPr>
                <w:b/>
                <w:bCs/>
                <w:color w:val="002060"/>
                <w:sz w:val="18"/>
                <w:szCs w:val="18"/>
                <w:lang w:val="fr-BE"/>
              </w:rPr>
            </w:pPr>
            <w:r w:rsidRPr="00382468">
              <w:rPr>
                <w:b/>
                <w:bCs/>
                <w:color w:val="002060"/>
                <w:sz w:val="18"/>
                <w:szCs w:val="18"/>
                <w:lang w:val="fr-BE"/>
              </w:rPr>
              <w:t>N</w:t>
            </w:r>
          </w:p>
          <w:p w14:paraId="2B524751" w14:textId="77777777" w:rsidR="007071B9" w:rsidRPr="00382468" w:rsidRDefault="007071B9" w:rsidP="00367B91">
            <w:pPr>
              <w:jc w:val="center"/>
              <w:rPr>
                <w:b/>
                <w:bCs/>
                <w:color w:val="002060"/>
                <w:sz w:val="18"/>
                <w:szCs w:val="18"/>
              </w:rPr>
            </w:pPr>
            <w:r w:rsidRPr="00382468">
              <w:rPr>
                <w:b/>
                <w:bCs/>
                <w:color w:val="002060"/>
                <w:sz w:val="18"/>
                <w:szCs w:val="18"/>
              </w:rPr>
              <w:t>A</w:t>
            </w:r>
          </w:p>
          <w:p w14:paraId="0E86BF80" w14:textId="77777777" w:rsidR="007071B9" w:rsidRPr="00382468" w:rsidRDefault="007071B9" w:rsidP="00367B91">
            <w:pPr>
              <w:jc w:val="center"/>
              <w:rPr>
                <w:b/>
                <w:bCs/>
                <w:color w:val="002060"/>
                <w:sz w:val="18"/>
                <w:szCs w:val="18"/>
              </w:rPr>
            </w:pPr>
            <w:r w:rsidRPr="00382468">
              <w:rPr>
                <w:b/>
                <w:bCs/>
                <w:color w:val="002060"/>
                <w:sz w:val="18"/>
                <w:szCs w:val="18"/>
              </w:rPr>
              <w:t>L</w:t>
            </w:r>
          </w:p>
          <w:p w14:paraId="626D5981" w14:textId="77777777" w:rsidR="007071B9" w:rsidRPr="00382468" w:rsidRDefault="007071B9" w:rsidP="00367B91">
            <w:pPr>
              <w:jc w:val="center"/>
              <w:rPr>
                <w:b/>
                <w:bCs/>
                <w:color w:val="002060"/>
                <w:sz w:val="18"/>
                <w:szCs w:val="18"/>
              </w:rPr>
            </w:pPr>
          </w:p>
        </w:tc>
        <w:tc>
          <w:tcPr>
            <w:tcW w:w="8471" w:type="dxa"/>
            <w:shd w:val="clear" w:color="auto" w:fill="DAE9F7" w:themeFill="text2" w:themeFillTint="1A"/>
            <w:vAlign w:val="center"/>
          </w:tcPr>
          <w:p w14:paraId="180F990F" w14:textId="77777777" w:rsidR="007071B9" w:rsidRPr="00382468" w:rsidRDefault="007071B9" w:rsidP="00367B91">
            <w:pPr>
              <w:ind w:left="720"/>
              <w:rPr>
                <w:color w:val="002060"/>
              </w:rPr>
            </w:pPr>
          </w:p>
          <w:p w14:paraId="296F9D35" w14:textId="77777777" w:rsidR="007071B9" w:rsidRPr="00382468" w:rsidRDefault="007071B9" w:rsidP="007071B9">
            <w:pPr>
              <w:pStyle w:val="ListParagraph"/>
              <w:numPr>
                <w:ilvl w:val="0"/>
                <w:numId w:val="9"/>
              </w:numPr>
              <w:jc w:val="both"/>
              <w:rPr>
                <w:color w:val="002060"/>
                <w:sz w:val="18"/>
                <w:szCs w:val="18"/>
              </w:rPr>
            </w:pPr>
            <w:r w:rsidRPr="00382468">
              <w:rPr>
                <w:color w:val="002060"/>
                <w:sz w:val="18"/>
                <w:szCs w:val="18"/>
              </w:rPr>
              <w:t xml:space="preserve">As one of the </w:t>
            </w:r>
            <w:hyperlink r:id="rId13" w:history="1">
              <w:r w:rsidRPr="00382468">
                <w:rPr>
                  <w:rStyle w:val="Hyperlink"/>
                  <w:color w:val="002060"/>
                  <w:sz w:val="18"/>
                  <w:szCs w:val="18"/>
                </w:rPr>
                <w:t>European Medicines Agency's eligible patients and consumers organisations</w:t>
              </w:r>
            </w:hyperlink>
            <w:r w:rsidRPr="00382468">
              <w:rPr>
                <w:color w:val="002060"/>
                <w:sz w:val="18"/>
                <w:szCs w:val="18"/>
              </w:rPr>
              <w:t>, the EIWH is frequently consulted to assist in the identification of experts for specific matters.</w:t>
            </w:r>
          </w:p>
          <w:p w14:paraId="39EEBC0B" w14:textId="77777777" w:rsidR="007071B9" w:rsidRPr="00382468" w:rsidRDefault="007071B9" w:rsidP="007071B9">
            <w:pPr>
              <w:numPr>
                <w:ilvl w:val="0"/>
                <w:numId w:val="4"/>
              </w:numPr>
              <w:rPr>
                <w:color w:val="002060"/>
                <w:sz w:val="18"/>
                <w:szCs w:val="18"/>
              </w:rPr>
            </w:pPr>
            <w:r w:rsidRPr="00382468">
              <w:rPr>
                <w:color w:val="002060"/>
                <w:sz w:val="18"/>
                <w:szCs w:val="18"/>
              </w:rPr>
              <w:t xml:space="preserve">Contributed to </w:t>
            </w:r>
            <w:r w:rsidRPr="00382468">
              <w:rPr>
                <w:b/>
                <w:bCs/>
                <w:color w:val="002060"/>
                <w:sz w:val="18"/>
                <w:szCs w:val="18"/>
              </w:rPr>
              <w:t>EMA Patients’ and Consumers’ Working Party</w:t>
            </w:r>
            <w:r w:rsidRPr="00382468">
              <w:rPr>
                <w:color w:val="002060"/>
                <w:sz w:val="18"/>
                <w:szCs w:val="18"/>
              </w:rPr>
              <w:t xml:space="preserve"> to integrate women’s health in regulatory processes.</w:t>
            </w:r>
          </w:p>
          <w:p w14:paraId="16B0B7E8" w14:textId="2380FE91" w:rsidR="007071B9" w:rsidRDefault="007071B9" w:rsidP="007071B9">
            <w:pPr>
              <w:numPr>
                <w:ilvl w:val="0"/>
                <w:numId w:val="4"/>
              </w:numPr>
              <w:rPr>
                <w:color w:val="002060"/>
                <w:sz w:val="18"/>
                <w:szCs w:val="18"/>
              </w:rPr>
            </w:pPr>
            <w:r>
              <w:rPr>
                <w:color w:val="002060"/>
                <w:sz w:val="18"/>
                <w:szCs w:val="18"/>
              </w:rPr>
              <w:t xml:space="preserve">Rebecca Moore, </w:t>
            </w:r>
            <w:r w:rsidR="00EA0207">
              <w:rPr>
                <w:color w:val="002060"/>
                <w:sz w:val="18"/>
                <w:szCs w:val="18"/>
              </w:rPr>
              <w:t xml:space="preserve">EIWH </w:t>
            </w:r>
            <w:r w:rsidR="00BC32AE">
              <w:rPr>
                <w:color w:val="002060"/>
                <w:sz w:val="18"/>
                <w:szCs w:val="18"/>
              </w:rPr>
              <w:t>Senior Researcher</w:t>
            </w:r>
            <w:r>
              <w:rPr>
                <w:color w:val="002060"/>
                <w:sz w:val="18"/>
                <w:szCs w:val="18"/>
              </w:rPr>
              <w:t xml:space="preserve"> </w:t>
            </w:r>
            <w:proofErr w:type="gramStart"/>
            <w:r w:rsidR="00EA0207">
              <w:rPr>
                <w:color w:val="002060"/>
                <w:sz w:val="18"/>
                <w:szCs w:val="18"/>
              </w:rPr>
              <w:t>on  advisory</w:t>
            </w:r>
            <w:proofErr w:type="gramEnd"/>
            <w:r w:rsidR="00EA0207">
              <w:rPr>
                <w:color w:val="002060"/>
                <w:sz w:val="18"/>
                <w:szCs w:val="18"/>
              </w:rPr>
              <w:t xml:space="preserve"> </w:t>
            </w:r>
            <w:proofErr w:type="gramStart"/>
            <w:r w:rsidR="00EA0207">
              <w:rPr>
                <w:color w:val="002060"/>
                <w:sz w:val="18"/>
                <w:szCs w:val="18"/>
              </w:rPr>
              <w:t>board ,</w:t>
            </w:r>
            <w:proofErr w:type="gramEnd"/>
            <w:r w:rsidRPr="00382468">
              <w:rPr>
                <w:color w:val="002060"/>
                <w:sz w:val="18"/>
                <w:szCs w:val="18"/>
              </w:rPr>
              <w:t xml:space="preserve"> </w:t>
            </w:r>
            <w:r w:rsidRPr="00382468">
              <w:rPr>
                <w:b/>
                <w:bCs/>
                <w:color w:val="002060"/>
                <w:sz w:val="18"/>
                <w:szCs w:val="18"/>
              </w:rPr>
              <w:t>ECDC</w:t>
            </w:r>
            <w:r w:rsidRPr="00382468">
              <w:rPr>
                <w:color w:val="002060"/>
                <w:sz w:val="18"/>
                <w:szCs w:val="18"/>
              </w:rPr>
              <w:t xml:space="preserve"> to embed gender dimensions into infectious disease prevention.</w:t>
            </w:r>
          </w:p>
          <w:p w14:paraId="43BD4F96" w14:textId="41EE4F92" w:rsidR="00EA0207" w:rsidRPr="00382468" w:rsidRDefault="00EA0207" w:rsidP="007071B9">
            <w:pPr>
              <w:numPr>
                <w:ilvl w:val="0"/>
                <w:numId w:val="4"/>
              </w:numPr>
              <w:rPr>
                <w:color w:val="002060"/>
                <w:sz w:val="18"/>
                <w:szCs w:val="18"/>
              </w:rPr>
            </w:pPr>
            <w:r>
              <w:rPr>
                <w:color w:val="002060"/>
                <w:sz w:val="18"/>
                <w:szCs w:val="18"/>
              </w:rPr>
              <w:t>EIWH Project Manager DR. Heidi Siller works on the HIV Alliance and represents EIWH on Expert group for Cancer Patient Organisation</w:t>
            </w:r>
          </w:p>
          <w:p w14:paraId="148C04D1" w14:textId="77777777" w:rsidR="007071B9" w:rsidRPr="00382468" w:rsidRDefault="007071B9" w:rsidP="007071B9">
            <w:pPr>
              <w:pStyle w:val="ListParagraph"/>
              <w:numPr>
                <w:ilvl w:val="0"/>
                <w:numId w:val="8"/>
              </w:numPr>
              <w:jc w:val="both"/>
              <w:rPr>
                <w:color w:val="002060"/>
                <w:sz w:val="18"/>
                <w:szCs w:val="18"/>
              </w:rPr>
            </w:pPr>
            <w:r w:rsidRPr="00382468">
              <w:rPr>
                <w:color w:val="002060"/>
                <w:sz w:val="18"/>
                <w:szCs w:val="18"/>
              </w:rPr>
              <w:t xml:space="preserve">The EIWH is the Chair of the </w:t>
            </w:r>
            <w:hyperlink r:id="rId14" w:history="1">
              <w:r w:rsidRPr="00382468">
                <w:rPr>
                  <w:rStyle w:val="Hyperlink"/>
                  <w:color w:val="002060"/>
                  <w:sz w:val="18"/>
                  <w:szCs w:val="18"/>
                </w:rPr>
                <w:t>WHO Academy</w:t>
              </w:r>
            </w:hyperlink>
            <w:r w:rsidRPr="00382468">
              <w:rPr>
                <w:color w:val="002060"/>
                <w:sz w:val="18"/>
                <w:szCs w:val="18"/>
              </w:rPr>
              <w:t xml:space="preserve"> and leads the Patient and Communities of Interest Working Group. The mission of the Academy is to reach millions of learners with evidence-based and impactful lifelong learning that is accessible, innovative and accelerates achievement of global public health goals including the WHO Triple Billion Goals and the United Nations Sustainable Development Goals. I</w:t>
            </w:r>
          </w:p>
          <w:p w14:paraId="5AA18EFB" w14:textId="77777777" w:rsidR="007071B9" w:rsidRPr="00382468" w:rsidRDefault="007071B9" w:rsidP="007071B9">
            <w:pPr>
              <w:pStyle w:val="ListParagraph"/>
              <w:numPr>
                <w:ilvl w:val="0"/>
                <w:numId w:val="8"/>
              </w:numPr>
              <w:jc w:val="both"/>
              <w:rPr>
                <w:color w:val="002060"/>
                <w:sz w:val="18"/>
                <w:szCs w:val="18"/>
              </w:rPr>
            </w:pPr>
            <w:r w:rsidRPr="00382468">
              <w:rPr>
                <w:color w:val="002060"/>
                <w:sz w:val="18"/>
                <w:szCs w:val="18"/>
              </w:rPr>
              <w:t xml:space="preserve">In 2023, the EIWH joined the </w:t>
            </w:r>
            <w:hyperlink r:id="rId15" w:history="1">
              <w:r w:rsidRPr="00382468">
                <w:rPr>
                  <w:rStyle w:val="Hyperlink"/>
                  <w:color w:val="002060"/>
                  <w:sz w:val="18"/>
                  <w:szCs w:val="18"/>
                </w:rPr>
                <w:t>WHO Civil Society Commission</w:t>
              </w:r>
            </w:hyperlink>
            <w:r w:rsidRPr="00382468">
              <w:rPr>
                <w:color w:val="002060"/>
                <w:sz w:val="18"/>
                <w:szCs w:val="18"/>
              </w:rPr>
              <w:t xml:space="preserve"> which mission is inter alia to strengthen dialogue, foster collaboration and provide recommendations to support WHO on its engagement with civil society at global, regional and national levels to achieve health for all. </w:t>
            </w:r>
          </w:p>
          <w:p w14:paraId="02F710D9" w14:textId="6BDD689A" w:rsidR="007071B9" w:rsidRPr="00382468" w:rsidRDefault="007071B9" w:rsidP="007071B9">
            <w:pPr>
              <w:pStyle w:val="ListParagraph"/>
              <w:numPr>
                <w:ilvl w:val="0"/>
                <w:numId w:val="4"/>
              </w:numPr>
              <w:jc w:val="both"/>
              <w:rPr>
                <w:color w:val="002060"/>
                <w:sz w:val="18"/>
                <w:szCs w:val="18"/>
              </w:rPr>
            </w:pPr>
            <w:r w:rsidRPr="00382468">
              <w:rPr>
                <w:color w:val="002060"/>
                <w:sz w:val="18"/>
                <w:szCs w:val="18"/>
              </w:rPr>
              <w:t xml:space="preserve"> Peggy Maguire (EIWH Director General) </w:t>
            </w:r>
            <w:r>
              <w:rPr>
                <w:color w:val="002060"/>
                <w:sz w:val="18"/>
                <w:szCs w:val="18"/>
              </w:rPr>
              <w:t xml:space="preserve">co-Women’s Health Task </w:t>
            </w:r>
            <w:r w:rsidR="003D42FA">
              <w:rPr>
                <w:color w:val="002060"/>
                <w:sz w:val="18"/>
                <w:szCs w:val="18"/>
              </w:rPr>
              <w:t>Force, Dept</w:t>
            </w:r>
            <w:r>
              <w:rPr>
                <w:color w:val="002060"/>
                <w:sz w:val="18"/>
                <w:szCs w:val="18"/>
              </w:rPr>
              <w:t xml:space="preserve"> of Health Ireland.</w:t>
            </w:r>
          </w:p>
          <w:p w14:paraId="5B4E0A41" w14:textId="77777777" w:rsidR="007071B9" w:rsidRPr="00382468" w:rsidRDefault="007071B9" w:rsidP="00367B91">
            <w:pPr>
              <w:ind w:left="360"/>
              <w:rPr>
                <w:color w:val="002060"/>
                <w:sz w:val="18"/>
                <w:szCs w:val="18"/>
              </w:rPr>
            </w:pPr>
          </w:p>
          <w:p w14:paraId="5BEC4D02" w14:textId="77777777" w:rsidR="007071B9" w:rsidRPr="00382468" w:rsidRDefault="007071B9" w:rsidP="00367B91">
            <w:pPr>
              <w:ind w:left="720"/>
              <w:rPr>
                <w:color w:val="002060"/>
                <w:sz w:val="18"/>
                <w:szCs w:val="18"/>
              </w:rPr>
            </w:pPr>
          </w:p>
        </w:tc>
      </w:tr>
    </w:tbl>
    <w:p w14:paraId="7B80BAB5" w14:textId="77777777" w:rsidR="007071B9" w:rsidRPr="00382468" w:rsidRDefault="007071B9" w:rsidP="007071B9">
      <w:pPr>
        <w:jc w:val="both"/>
        <w:rPr>
          <w:sz w:val="20"/>
          <w:szCs w:val="20"/>
        </w:rPr>
      </w:pPr>
    </w:p>
    <w:p w14:paraId="1487BC39" w14:textId="77777777" w:rsidR="007071B9" w:rsidRPr="00382468" w:rsidRDefault="007071B9" w:rsidP="007071B9">
      <w:pPr>
        <w:jc w:val="both"/>
        <w:rPr>
          <w:lang w:val="en-GB"/>
        </w:rPr>
      </w:pPr>
    </w:p>
    <w:p w14:paraId="454D48D9" w14:textId="77777777" w:rsidR="00961423" w:rsidRPr="007071B9" w:rsidRDefault="00961423" w:rsidP="0050652F">
      <w:pPr>
        <w:rPr>
          <w:sz w:val="22"/>
          <w:szCs w:val="22"/>
          <w:lang w:val="en-GB"/>
        </w:rPr>
      </w:pPr>
    </w:p>
    <w:p w14:paraId="6BD2F50A" w14:textId="77777777" w:rsidR="00FB4217" w:rsidRPr="00DE4011" w:rsidRDefault="00000000" w:rsidP="00FB4217">
      <w:pPr>
        <w:rPr>
          <w:b/>
          <w:bCs/>
          <w:color w:val="004E9A"/>
          <w:sz w:val="22"/>
          <w:szCs w:val="22"/>
        </w:rPr>
      </w:pPr>
      <w:r>
        <w:rPr>
          <w:b/>
          <w:bCs/>
          <w:noProof/>
          <w:color w:val="004E9A"/>
          <w:sz w:val="22"/>
          <w:szCs w:val="22"/>
        </w:rPr>
        <w:pict w14:anchorId="71F69082">
          <v:rect id="_x0000_i1025" style="width:0;height:1.5pt" o:hralign="center" o:hrstd="t" o:hr="t" fillcolor="#a0a0a0" stroked="f"/>
        </w:pict>
      </w:r>
    </w:p>
    <w:p w14:paraId="170F70BA" w14:textId="06D7AB20" w:rsidR="00FB4217" w:rsidRPr="00DE4011" w:rsidRDefault="00FB4217" w:rsidP="00FB4217">
      <w:pPr>
        <w:rPr>
          <w:b/>
          <w:bCs/>
          <w:color w:val="004E9A"/>
          <w:sz w:val="22"/>
          <w:szCs w:val="22"/>
        </w:rPr>
      </w:pPr>
      <w:r w:rsidRPr="00DE4011">
        <w:rPr>
          <w:b/>
          <w:bCs/>
          <w:color w:val="004E9A"/>
          <w:sz w:val="22"/>
          <w:szCs w:val="22"/>
        </w:rPr>
        <w:t xml:space="preserve"> Looking ahead to 2026, EIWH </w:t>
      </w:r>
      <w:r w:rsidR="005B7825">
        <w:rPr>
          <w:b/>
          <w:bCs/>
          <w:color w:val="004E9A"/>
          <w:sz w:val="22"/>
          <w:szCs w:val="22"/>
        </w:rPr>
        <w:t>will</w:t>
      </w:r>
      <w:r w:rsidRPr="00DE4011">
        <w:rPr>
          <w:b/>
          <w:bCs/>
          <w:color w:val="004E9A"/>
          <w:sz w:val="22"/>
          <w:szCs w:val="22"/>
        </w:rPr>
        <w:t>:</w:t>
      </w:r>
    </w:p>
    <w:p w14:paraId="5A44BACA" w14:textId="77777777" w:rsidR="003D42FA" w:rsidRDefault="00086ED6" w:rsidP="00961423">
      <w:pPr>
        <w:pStyle w:val="ListParagraph"/>
        <w:numPr>
          <w:ilvl w:val="0"/>
          <w:numId w:val="7"/>
        </w:numPr>
        <w:ind w:left="720"/>
        <w:rPr>
          <w:sz w:val="22"/>
          <w:szCs w:val="22"/>
        </w:rPr>
      </w:pPr>
      <w:r w:rsidRPr="003D42FA">
        <w:rPr>
          <w:sz w:val="22"/>
          <w:szCs w:val="22"/>
        </w:rPr>
        <w:t>Contribute to Irish Presidency events on women’s health.</w:t>
      </w:r>
    </w:p>
    <w:p w14:paraId="40952914" w14:textId="77777777" w:rsidR="003D42FA" w:rsidRDefault="003D42FA" w:rsidP="00961423">
      <w:pPr>
        <w:pStyle w:val="ListParagraph"/>
        <w:numPr>
          <w:ilvl w:val="0"/>
          <w:numId w:val="7"/>
        </w:numPr>
        <w:ind w:left="720"/>
        <w:rPr>
          <w:sz w:val="22"/>
          <w:szCs w:val="22"/>
        </w:rPr>
      </w:pPr>
      <w:r>
        <w:rPr>
          <w:sz w:val="22"/>
          <w:szCs w:val="22"/>
        </w:rPr>
        <w:t>Continue work with MEPs for Women’s Health Interest Group</w:t>
      </w:r>
    </w:p>
    <w:p w14:paraId="62FB9133" w14:textId="5E9621A2" w:rsidR="00E154F2" w:rsidRPr="00A31EDB" w:rsidRDefault="00E154F2" w:rsidP="00961423">
      <w:pPr>
        <w:pStyle w:val="ListParagraph"/>
        <w:numPr>
          <w:ilvl w:val="0"/>
          <w:numId w:val="7"/>
        </w:numPr>
        <w:ind w:left="720"/>
        <w:rPr>
          <w:sz w:val="22"/>
          <w:szCs w:val="22"/>
        </w:rPr>
      </w:pPr>
      <w:r w:rsidRPr="003D42FA">
        <w:rPr>
          <w:color w:val="000000"/>
          <w:sz w:val="22"/>
          <w:szCs w:val="22"/>
        </w:rPr>
        <w:t>Maintain existing partnerships and pursue new ones</w:t>
      </w:r>
    </w:p>
    <w:p w14:paraId="7408168A" w14:textId="4579CCCC" w:rsidR="00A31EDB" w:rsidRPr="00A31EDB" w:rsidRDefault="00A31EDB" w:rsidP="00961423">
      <w:pPr>
        <w:pStyle w:val="ListParagraph"/>
        <w:numPr>
          <w:ilvl w:val="0"/>
          <w:numId w:val="7"/>
        </w:numPr>
        <w:ind w:left="720"/>
        <w:rPr>
          <w:sz w:val="22"/>
          <w:szCs w:val="22"/>
        </w:rPr>
      </w:pPr>
      <w:r>
        <w:rPr>
          <w:color w:val="000000"/>
          <w:sz w:val="22"/>
          <w:szCs w:val="22"/>
        </w:rPr>
        <w:t>Continue contributions to EMA PCWP</w:t>
      </w:r>
    </w:p>
    <w:p w14:paraId="17A62BFF" w14:textId="4FD43A6E" w:rsidR="00A31EDB" w:rsidRPr="00720457" w:rsidRDefault="00A31EDB" w:rsidP="00961423">
      <w:pPr>
        <w:pStyle w:val="ListParagraph"/>
        <w:numPr>
          <w:ilvl w:val="0"/>
          <w:numId w:val="7"/>
        </w:numPr>
        <w:ind w:left="720"/>
        <w:rPr>
          <w:sz w:val="22"/>
          <w:szCs w:val="22"/>
        </w:rPr>
      </w:pPr>
      <w:r>
        <w:rPr>
          <w:color w:val="000000"/>
          <w:sz w:val="22"/>
          <w:szCs w:val="22"/>
        </w:rPr>
        <w:t>Continue contribution to SANTE HTA stakeholder network</w:t>
      </w:r>
    </w:p>
    <w:p w14:paraId="15480BE9" w14:textId="4C673EB9" w:rsidR="00720457" w:rsidRPr="00720457" w:rsidRDefault="00720457" w:rsidP="00961423">
      <w:pPr>
        <w:pStyle w:val="ListParagraph"/>
        <w:numPr>
          <w:ilvl w:val="0"/>
          <w:numId w:val="7"/>
        </w:numPr>
        <w:ind w:left="720"/>
        <w:rPr>
          <w:sz w:val="22"/>
          <w:szCs w:val="22"/>
        </w:rPr>
      </w:pPr>
      <w:r>
        <w:rPr>
          <w:color w:val="000000"/>
          <w:sz w:val="22"/>
          <w:szCs w:val="22"/>
        </w:rPr>
        <w:t>Continue work with WHTF Ireland</w:t>
      </w:r>
    </w:p>
    <w:p w14:paraId="232AC8A2" w14:textId="616553D2" w:rsidR="00720457" w:rsidRDefault="00720457" w:rsidP="00961423">
      <w:pPr>
        <w:pStyle w:val="ListParagraph"/>
        <w:numPr>
          <w:ilvl w:val="0"/>
          <w:numId w:val="7"/>
        </w:numPr>
        <w:ind w:left="720"/>
        <w:rPr>
          <w:sz w:val="22"/>
          <w:szCs w:val="22"/>
        </w:rPr>
      </w:pPr>
      <w:r>
        <w:rPr>
          <w:sz w:val="22"/>
          <w:szCs w:val="22"/>
        </w:rPr>
        <w:t>Continue work with WHO ACSO</w:t>
      </w:r>
    </w:p>
    <w:p w14:paraId="4520B6A6" w14:textId="51D7B567" w:rsidR="00720457" w:rsidRPr="003D42FA" w:rsidRDefault="00720457" w:rsidP="00961423">
      <w:pPr>
        <w:pStyle w:val="ListParagraph"/>
        <w:numPr>
          <w:ilvl w:val="0"/>
          <w:numId w:val="7"/>
        </w:numPr>
        <w:ind w:left="720"/>
        <w:rPr>
          <w:sz w:val="22"/>
          <w:szCs w:val="22"/>
        </w:rPr>
      </w:pPr>
      <w:r>
        <w:rPr>
          <w:sz w:val="22"/>
          <w:szCs w:val="22"/>
        </w:rPr>
        <w:t>Continue work with WHO Academy</w:t>
      </w:r>
    </w:p>
    <w:p w14:paraId="46645F38" w14:textId="2CABD1BA" w:rsidR="00FB4217" w:rsidRPr="00961423" w:rsidRDefault="00FB4217" w:rsidP="00FB4217">
      <w:pPr>
        <w:numPr>
          <w:ilvl w:val="0"/>
          <w:numId w:val="5"/>
        </w:numPr>
        <w:rPr>
          <w:sz w:val="22"/>
          <w:szCs w:val="22"/>
        </w:rPr>
      </w:pPr>
      <w:r w:rsidRPr="00961423">
        <w:rPr>
          <w:sz w:val="22"/>
          <w:szCs w:val="22"/>
        </w:rPr>
        <w:t xml:space="preserve">Strengthen the </w:t>
      </w:r>
      <w:r w:rsidRPr="00961423">
        <w:rPr>
          <w:b/>
          <w:bCs/>
          <w:sz w:val="22"/>
          <w:szCs w:val="22"/>
        </w:rPr>
        <w:t>Coalition for Women’s Health</w:t>
      </w:r>
      <w:r w:rsidRPr="00961423">
        <w:rPr>
          <w:sz w:val="22"/>
          <w:szCs w:val="22"/>
        </w:rPr>
        <w:t xml:space="preserve"> with 50 partners.</w:t>
      </w:r>
    </w:p>
    <w:p w14:paraId="23113922" w14:textId="25442827" w:rsidR="00E154F2" w:rsidRPr="00922928" w:rsidRDefault="00FB4217" w:rsidP="00E154F2">
      <w:pPr>
        <w:numPr>
          <w:ilvl w:val="0"/>
          <w:numId w:val="5"/>
        </w:numPr>
        <w:rPr>
          <w:sz w:val="22"/>
          <w:szCs w:val="22"/>
        </w:rPr>
      </w:pPr>
      <w:r w:rsidRPr="00961423">
        <w:rPr>
          <w:sz w:val="22"/>
          <w:szCs w:val="22"/>
        </w:rPr>
        <w:t xml:space="preserve">Drive adoption of the </w:t>
      </w:r>
      <w:r w:rsidRPr="00961423">
        <w:rPr>
          <w:i/>
          <w:iCs/>
          <w:sz w:val="22"/>
          <w:szCs w:val="22"/>
        </w:rPr>
        <w:t>EU Strategy for Women’s Healt</w:t>
      </w:r>
      <w:r w:rsidR="00922928">
        <w:rPr>
          <w:i/>
          <w:iCs/>
          <w:sz w:val="22"/>
          <w:szCs w:val="22"/>
        </w:rPr>
        <w:t>h.</w:t>
      </w:r>
    </w:p>
    <w:p w14:paraId="596C942F" w14:textId="40248339" w:rsidR="00FB4217" w:rsidRPr="00922928" w:rsidRDefault="00FB4217" w:rsidP="00922928">
      <w:pPr>
        <w:rPr>
          <w:sz w:val="22"/>
          <w:szCs w:val="22"/>
        </w:rPr>
      </w:pPr>
      <w:r w:rsidRPr="00922928">
        <w:rPr>
          <w:sz w:val="22"/>
          <w:szCs w:val="22"/>
        </w:rPr>
        <w:t xml:space="preserve">Implement the </w:t>
      </w:r>
      <w:r w:rsidRPr="00922928">
        <w:rPr>
          <w:b/>
          <w:bCs/>
          <w:sz w:val="22"/>
          <w:szCs w:val="22"/>
        </w:rPr>
        <w:t>WHO Academy partnership</w:t>
      </w:r>
      <w:r w:rsidRPr="00922928">
        <w:rPr>
          <w:sz w:val="22"/>
          <w:szCs w:val="22"/>
        </w:rPr>
        <w:t>.</w:t>
      </w:r>
    </w:p>
    <w:p w14:paraId="357DB713" w14:textId="7163F214" w:rsidR="00FB4217" w:rsidRPr="00961423" w:rsidRDefault="00FB4217" w:rsidP="00FB4217">
      <w:pPr>
        <w:numPr>
          <w:ilvl w:val="0"/>
          <w:numId w:val="5"/>
        </w:numPr>
        <w:rPr>
          <w:sz w:val="22"/>
          <w:szCs w:val="22"/>
        </w:rPr>
      </w:pPr>
      <w:r w:rsidRPr="00961423">
        <w:rPr>
          <w:sz w:val="22"/>
          <w:szCs w:val="22"/>
        </w:rPr>
        <w:t xml:space="preserve">Expand transatlantic collaboration with </w:t>
      </w:r>
      <w:r w:rsidRPr="00961423">
        <w:rPr>
          <w:b/>
          <w:bCs/>
          <w:sz w:val="22"/>
          <w:szCs w:val="22"/>
        </w:rPr>
        <w:t>IWK Health Canada</w:t>
      </w:r>
      <w:r w:rsidR="00086ED6" w:rsidRPr="00961423">
        <w:rPr>
          <w:sz w:val="22"/>
          <w:szCs w:val="22"/>
        </w:rPr>
        <w:t xml:space="preserve"> </w:t>
      </w:r>
    </w:p>
    <w:p w14:paraId="32E5323D" w14:textId="24D3576A" w:rsidR="00FB4217" w:rsidRPr="00961423" w:rsidRDefault="00086ED6" w:rsidP="00086ED6">
      <w:pPr>
        <w:numPr>
          <w:ilvl w:val="0"/>
          <w:numId w:val="5"/>
        </w:numPr>
        <w:rPr>
          <w:sz w:val="22"/>
          <w:szCs w:val="22"/>
        </w:rPr>
      </w:pPr>
      <w:r w:rsidRPr="00961423">
        <w:rPr>
          <w:sz w:val="22"/>
          <w:szCs w:val="22"/>
        </w:rPr>
        <w:t>Strengthen relationship with Women in Global Health</w:t>
      </w:r>
    </w:p>
    <w:p w14:paraId="1EA7DCB5" w14:textId="57D950FA" w:rsidR="00E154F2" w:rsidRDefault="00FB4217" w:rsidP="00E154F2">
      <w:pPr>
        <w:numPr>
          <w:ilvl w:val="0"/>
          <w:numId w:val="5"/>
        </w:numPr>
        <w:rPr>
          <w:sz w:val="22"/>
          <w:szCs w:val="22"/>
        </w:rPr>
      </w:pPr>
      <w:r w:rsidRPr="00961423">
        <w:rPr>
          <w:sz w:val="22"/>
          <w:szCs w:val="22"/>
        </w:rPr>
        <w:t>Disseminate findings from major EU research projects to influence national and EU health systems.</w:t>
      </w:r>
    </w:p>
    <w:p w14:paraId="25635397" w14:textId="0D6AF390" w:rsidR="00C43138" w:rsidRPr="00DE4011" w:rsidRDefault="00C43138" w:rsidP="00DE4011">
      <w:pPr>
        <w:ind w:left="360"/>
        <w:rPr>
          <w:b/>
          <w:bCs/>
          <w:color w:val="004E9A"/>
          <w:sz w:val="22"/>
          <w:szCs w:val="22"/>
        </w:rPr>
      </w:pPr>
      <w:r w:rsidRPr="00DE4011">
        <w:rPr>
          <w:b/>
          <w:bCs/>
          <w:color w:val="004E9A"/>
          <w:sz w:val="22"/>
          <w:szCs w:val="22"/>
        </w:rPr>
        <w:t>Work on the following to identify opportunities for input and influence</w:t>
      </w:r>
    </w:p>
    <w:p w14:paraId="5B0E8FB0" w14:textId="77777777" w:rsidR="00C43138" w:rsidRPr="00C43138" w:rsidRDefault="00C43138" w:rsidP="00C43138">
      <w:pPr>
        <w:spacing w:after="0" w:line="276" w:lineRule="auto"/>
        <w:ind w:left="720"/>
        <w:rPr>
          <w:sz w:val="22"/>
          <w:szCs w:val="22"/>
        </w:rPr>
      </w:pPr>
      <w:r w:rsidRPr="00C43138">
        <w:rPr>
          <w:sz w:val="22"/>
          <w:szCs w:val="22"/>
        </w:rPr>
        <w:t xml:space="preserve">EP report on the Annual Budget </w:t>
      </w:r>
    </w:p>
    <w:p w14:paraId="58AB2B80" w14:textId="77A23A77" w:rsidR="00C43138" w:rsidRPr="00C43138" w:rsidRDefault="00C43138" w:rsidP="00C43138">
      <w:pPr>
        <w:spacing w:after="0" w:line="276" w:lineRule="auto"/>
        <w:ind w:left="720"/>
        <w:rPr>
          <w:sz w:val="22"/>
          <w:szCs w:val="22"/>
        </w:rPr>
      </w:pPr>
      <w:r w:rsidRPr="00C43138">
        <w:rPr>
          <w:sz w:val="22"/>
          <w:szCs w:val="22"/>
        </w:rPr>
        <w:lastRenderedPageBreak/>
        <w:t>EP reports on the Multi- Financial Framework (MFF) and future instruments.</w:t>
      </w:r>
    </w:p>
    <w:p w14:paraId="39B0C22A" w14:textId="77777777" w:rsidR="00C43138" w:rsidRPr="00C43138" w:rsidRDefault="00C43138" w:rsidP="00C43138">
      <w:pPr>
        <w:numPr>
          <w:ilvl w:val="0"/>
          <w:numId w:val="11"/>
        </w:numPr>
        <w:spacing w:after="0" w:line="276" w:lineRule="auto"/>
        <w:rPr>
          <w:sz w:val="22"/>
          <w:szCs w:val="22"/>
        </w:rPr>
      </w:pPr>
      <w:r w:rsidRPr="00C43138">
        <w:rPr>
          <w:sz w:val="22"/>
          <w:szCs w:val="22"/>
        </w:rPr>
        <w:t xml:space="preserve">R&amp;I framework FP10 and Competitiveness Programme  </w:t>
      </w:r>
    </w:p>
    <w:p w14:paraId="4D1597FA" w14:textId="77777777" w:rsidR="00C43138" w:rsidRPr="00C43138" w:rsidRDefault="00C43138" w:rsidP="00C43138">
      <w:pPr>
        <w:numPr>
          <w:ilvl w:val="0"/>
          <w:numId w:val="11"/>
        </w:numPr>
        <w:spacing w:after="0" w:line="276" w:lineRule="auto"/>
        <w:rPr>
          <w:sz w:val="22"/>
          <w:szCs w:val="22"/>
        </w:rPr>
      </w:pPr>
      <w:r w:rsidRPr="00C43138">
        <w:rPr>
          <w:sz w:val="22"/>
          <w:szCs w:val="22"/>
        </w:rPr>
        <w:t xml:space="preserve">External Action Instrument Global Europe </w:t>
      </w:r>
    </w:p>
    <w:p w14:paraId="5074400A" w14:textId="77777777" w:rsidR="00C43138" w:rsidRPr="00C43138" w:rsidRDefault="00C43138" w:rsidP="00C43138">
      <w:pPr>
        <w:numPr>
          <w:ilvl w:val="0"/>
          <w:numId w:val="11"/>
        </w:numPr>
        <w:spacing w:after="0" w:line="276" w:lineRule="auto"/>
        <w:rPr>
          <w:sz w:val="22"/>
          <w:szCs w:val="22"/>
        </w:rPr>
      </w:pPr>
      <w:r w:rsidRPr="00C43138">
        <w:rPr>
          <w:sz w:val="22"/>
          <w:szCs w:val="22"/>
        </w:rPr>
        <w:t xml:space="preserve">EU4Health Programme </w:t>
      </w:r>
    </w:p>
    <w:p w14:paraId="16C9A0E4" w14:textId="77777777" w:rsidR="00C43138" w:rsidRPr="00C43138" w:rsidRDefault="00C43138" w:rsidP="00C43138">
      <w:pPr>
        <w:spacing w:after="0" w:line="276" w:lineRule="auto"/>
        <w:ind w:left="720"/>
        <w:rPr>
          <w:sz w:val="22"/>
          <w:szCs w:val="22"/>
        </w:rPr>
      </w:pPr>
      <w:r w:rsidRPr="00C43138">
        <w:rPr>
          <w:sz w:val="22"/>
          <w:szCs w:val="22"/>
        </w:rPr>
        <w:t xml:space="preserve">Gender Equality Strategy (set for publication around March 8) </w:t>
      </w:r>
    </w:p>
    <w:p w14:paraId="502E1BD3" w14:textId="14BAE3A2" w:rsidR="00C43138" w:rsidRDefault="00C43138" w:rsidP="00C43138">
      <w:pPr>
        <w:spacing w:after="0" w:line="276" w:lineRule="auto"/>
        <w:ind w:left="720"/>
        <w:rPr>
          <w:sz w:val="22"/>
          <w:szCs w:val="22"/>
        </w:rPr>
      </w:pPr>
      <w:r w:rsidRPr="00C43138">
        <w:rPr>
          <w:sz w:val="22"/>
          <w:szCs w:val="22"/>
        </w:rPr>
        <w:t>Cardiovascular Plan</w:t>
      </w:r>
    </w:p>
    <w:p w14:paraId="68C70F05" w14:textId="77777777" w:rsidR="00EA0207" w:rsidRDefault="00EA0207" w:rsidP="00C43138">
      <w:pPr>
        <w:spacing w:after="0" w:line="276" w:lineRule="auto"/>
        <w:ind w:left="720"/>
        <w:rPr>
          <w:sz w:val="22"/>
          <w:szCs w:val="22"/>
        </w:rPr>
      </w:pPr>
    </w:p>
    <w:p w14:paraId="01BB7F42" w14:textId="56310D62" w:rsidR="00EA0207" w:rsidRPr="00EA0207" w:rsidRDefault="00EA0207" w:rsidP="00DE4011">
      <w:pPr>
        <w:spacing w:after="0" w:line="276" w:lineRule="auto"/>
        <w:rPr>
          <w:b/>
          <w:color w:val="004E9A"/>
          <w:sz w:val="22"/>
          <w:szCs w:val="22"/>
          <w:lang w:val="en-GB"/>
        </w:rPr>
      </w:pPr>
      <w:r w:rsidRPr="00EA0207">
        <w:rPr>
          <w:b/>
          <w:color w:val="004E9A"/>
          <w:sz w:val="22"/>
          <w:szCs w:val="22"/>
          <w:lang w:val="en-GB"/>
        </w:rPr>
        <w:t xml:space="preserve">Awareness raising and communication hooks: International </w:t>
      </w:r>
      <w:proofErr w:type="gramStart"/>
      <w:r w:rsidRPr="00EA0207">
        <w:rPr>
          <w:b/>
          <w:color w:val="004E9A"/>
          <w:sz w:val="22"/>
          <w:szCs w:val="22"/>
          <w:lang w:val="en-GB"/>
        </w:rPr>
        <w:t xml:space="preserve">Days </w:t>
      </w:r>
      <w:r w:rsidR="009E1054" w:rsidRPr="00DE4011">
        <w:rPr>
          <w:b/>
          <w:color w:val="004E9A"/>
          <w:sz w:val="22"/>
          <w:szCs w:val="22"/>
          <w:lang w:val="en-GB"/>
        </w:rPr>
        <w:t xml:space="preserve"> (</w:t>
      </w:r>
      <w:proofErr w:type="gramEnd"/>
      <w:r w:rsidR="009E1054" w:rsidRPr="00DE4011">
        <w:rPr>
          <w:b/>
          <w:color w:val="004E9A"/>
          <w:sz w:val="22"/>
          <w:szCs w:val="22"/>
          <w:lang w:val="en-GB"/>
        </w:rPr>
        <w:t>not Exhaustive)</w:t>
      </w:r>
    </w:p>
    <w:p w14:paraId="110DC073" w14:textId="77777777" w:rsidR="00EA0207" w:rsidRPr="00EA0207" w:rsidRDefault="00EA0207" w:rsidP="00EA0207">
      <w:pPr>
        <w:pStyle w:val="ListParagraph"/>
        <w:numPr>
          <w:ilvl w:val="0"/>
          <w:numId w:val="14"/>
        </w:numPr>
        <w:spacing w:after="0" w:line="276" w:lineRule="auto"/>
        <w:rPr>
          <w:sz w:val="22"/>
          <w:szCs w:val="22"/>
          <w:lang w:val="en-GB"/>
        </w:rPr>
      </w:pPr>
      <w:r w:rsidRPr="00EA0207">
        <w:rPr>
          <w:sz w:val="22"/>
          <w:szCs w:val="22"/>
          <w:lang w:val="en-GB"/>
        </w:rPr>
        <w:t xml:space="preserve">International Day of Women and Girls in Science (February 11) </w:t>
      </w:r>
    </w:p>
    <w:p w14:paraId="579CBB78" w14:textId="77777777" w:rsidR="00EA0207" w:rsidRPr="00EA0207" w:rsidRDefault="00EA0207" w:rsidP="00EA0207">
      <w:pPr>
        <w:numPr>
          <w:ilvl w:val="0"/>
          <w:numId w:val="14"/>
        </w:numPr>
        <w:spacing w:after="0" w:line="276" w:lineRule="auto"/>
        <w:rPr>
          <w:sz w:val="22"/>
          <w:szCs w:val="22"/>
          <w:lang w:val="en-GB"/>
        </w:rPr>
      </w:pPr>
      <w:r w:rsidRPr="00EA0207">
        <w:rPr>
          <w:sz w:val="22"/>
          <w:szCs w:val="22"/>
          <w:lang w:val="en-GB"/>
        </w:rPr>
        <w:t>HPV Awareness Day (March 4)</w:t>
      </w:r>
    </w:p>
    <w:p w14:paraId="32D0C436" w14:textId="77777777" w:rsidR="00EA0207" w:rsidRPr="00EA0207" w:rsidRDefault="00EA0207" w:rsidP="00EA0207">
      <w:pPr>
        <w:numPr>
          <w:ilvl w:val="0"/>
          <w:numId w:val="14"/>
        </w:numPr>
        <w:spacing w:after="0" w:line="276" w:lineRule="auto"/>
        <w:rPr>
          <w:sz w:val="22"/>
          <w:szCs w:val="22"/>
          <w:lang w:val="en-GB"/>
        </w:rPr>
      </w:pPr>
      <w:r w:rsidRPr="00EA0207">
        <w:rPr>
          <w:sz w:val="22"/>
          <w:szCs w:val="22"/>
          <w:lang w:val="en-GB"/>
        </w:rPr>
        <w:t xml:space="preserve">International Women’s Day (March 8) </w:t>
      </w:r>
    </w:p>
    <w:p w14:paraId="0E040863" w14:textId="77777777" w:rsidR="00EA0207" w:rsidRPr="00EA0207" w:rsidRDefault="00EA0207" w:rsidP="00EA0207">
      <w:pPr>
        <w:numPr>
          <w:ilvl w:val="0"/>
          <w:numId w:val="14"/>
        </w:numPr>
        <w:spacing w:after="0" w:line="276" w:lineRule="auto"/>
        <w:rPr>
          <w:sz w:val="22"/>
          <w:szCs w:val="22"/>
          <w:lang w:val="en-GB"/>
        </w:rPr>
      </w:pPr>
      <w:r w:rsidRPr="00EA0207">
        <w:rPr>
          <w:sz w:val="22"/>
          <w:szCs w:val="22"/>
          <w:lang w:val="en-GB"/>
        </w:rPr>
        <w:t>World Health Day (April 7)</w:t>
      </w:r>
    </w:p>
    <w:p w14:paraId="2577E15C" w14:textId="77777777" w:rsidR="00EA0207" w:rsidRDefault="00EA0207" w:rsidP="00EA0207">
      <w:pPr>
        <w:numPr>
          <w:ilvl w:val="0"/>
          <w:numId w:val="14"/>
        </w:numPr>
        <w:spacing w:after="0" w:line="276" w:lineRule="auto"/>
        <w:rPr>
          <w:sz w:val="22"/>
          <w:szCs w:val="22"/>
          <w:lang w:val="en-GB"/>
        </w:rPr>
      </w:pPr>
      <w:r w:rsidRPr="00EA0207">
        <w:rPr>
          <w:sz w:val="22"/>
          <w:szCs w:val="22"/>
          <w:lang w:val="en-GB"/>
        </w:rPr>
        <w:t xml:space="preserve">EU immunisation week (April 25) </w:t>
      </w:r>
    </w:p>
    <w:p w14:paraId="4BC27D5B" w14:textId="75D5C873" w:rsidR="00EA0207" w:rsidRPr="00EA0207" w:rsidRDefault="00EA0207" w:rsidP="00EA0207">
      <w:pPr>
        <w:numPr>
          <w:ilvl w:val="0"/>
          <w:numId w:val="14"/>
        </w:numPr>
        <w:spacing w:after="0" w:line="276" w:lineRule="auto"/>
        <w:rPr>
          <w:sz w:val="22"/>
          <w:szCs w:val="22"/>
          <w:lang w:val="en-GB"/>
        </w:rPr>
      </w:pPr>
      <w:r w:rsidRPr="00EA0207">
        <w:rPr>
          <w:sz w:val="22"/>
          <w:szCs w:val="22"/>
          <w:lang w:val="en-GB"/>
        </w:rPr>
        <w:t>European Week Against Cancer (May 25-31)</w:t>
      </w:r>
    </w:p>
    <w:p w14:paraId="7F4FD928" w14:textId="77777777" w:rsidR="00EA0207" w:rsidRPr="00EA0207" w:rsidRDefault="00EA0207" w:rsidP="00EA0207">
      <w:pPr>
        <w:numPr>
          <w:ilvl w:val="0"/>
          <w:numId w:val="14"/>
        </w:numPr>
        <w:spacing w:after="0" w:line="276" w:lineRule="auto"/>
        <w:rPr>
          <w:sz w:val="22"/>
          <w:szCs w:val="22"/>
          <w:lang w:val="en-GB"/>
        </w:rPr>
      </w:pPr>
      <w:r w:rsidRPr="00EA0207">
        <w:rPr>
          <w:sz w:val="22"/>
          <w:szCs w:val="22"/>
          <w:lang w:val="en-GB"/>
        </w:rPr>
        <w:t>International Day of Action for Women’s Health (May 28)</w:t>
      </w:r>
    </w:p>
    <w:p w14:paraId="354AD037" w14:textId="77777777" w:rsidR="00EA0207" w:rsidRPr="00EA0207" w:rsidRDefault="00EA0207" w:rsidP="00EA0207">
      <w:pPr>
        <w:numPr>
          <w:ilvl w:val="0"/>
          <w:numId w:val="14"/>
        </w:numPr>
        <w:spacing w:after="0" w:line="276" w:lineRule="auto"/>
        <w:rPr>
          <w:sz w:val="22"/>
          <w:szCs w:val="22"/>
          <w:lang w:val="en-GB"/>
        </w:rPr>
      </w:pPr>
      <w:r w:rsidRPr="00EA0207">
        <w:rPr>
          <w:sz w:val="22"/>
          <w:szCs w:val="22"/>
          <w:lang w:val="en-GB"/>
        </w:rPr>
        <w:t>World Alzheimer Day (September 21)</w:t>
      </w:r>
    </w:p>
    <w:p w14:paraId="12228B0D" w14:textId="77777777" w:rsidR="00EA0207" w:rsidRPr="00EA0207" w:rsidRDefault="00EA0207" w:rsidP="00EA0207">
      <w:pPr>
        <w:numPr>
          <w:ilvl w:val="0"/>
          <w:numId w:val="14"/>
        </w:numPr>
        <w:spacing w:after="0" w:line="276" w:lineRule="auto"/>
        <w:rPr>
          <w:sz w:val="22"/>
          <w:szCs w:val="22"/>
          <w:lang w:val="en-GB"/>
        </w:rPr>
      </w:pPr>
      <w:r w:rsidRPr="00EA0207">
        <w:rPr>
          <w:sz w:val="22"/>
          <w:szCs w:val="22"/>
          <w:lang w:val="en-GB"/>
        </w:rPr>
        <w:t xml:space="preserve">World Contraception Day (September 26)  </w:t>
      </w:r>
    </w:p>
    <w:p w14:paraId="523D269F" w14:textId="77777777" w:rsidR="00EA0207" w:rsidRPr="00EA0207" w:rsidRDefault="00EA0207" w:rsidP="00EA0207">
      <w:pPr>
        <w:numPr>
          <w:ilvl w:val="0"/>
          <w:numId w:val="14"/>
        </w:numPr>
        <w:spacing w:after="0" w:line="276" w:lineRule="auto"/>
        <w:rPr>
          <w:sz w:val="22"/>
          <w:szCs w:val="22"/>
          <w:lang w:val="en-GB"/>
        </w:rPr>
      </w:pPr>
      <w:r w:rsidRPr="00EA0207">
        <w:rPr>
          <w:sz w:val="22"/>
          <w:szCs w:val="22"/>
          <w:lang w:val="en-GB"/>
        </w:rPr>
        <w:t>World Mental Health Day (October 10)</w:t>
      </w:r>
    </w:p>
    <w:p w14:paraId="0EFF84BF" w14:textId="77777777" w:rsidR="00EA0207" w:rsidRPr="00EA0207" w:rsidRDefault="00EA0207" w:rsidP="00EA0207">
      <w:pPr>
        <w:numPr>
          <w:ilvl w:val="0"/>
          <w:numId w:val="14"/>
        </w:numPr>
        <w:spacing w:after="0" w:line="276" w:lineRule="auto"/>
        <w:rPr>
          <w:sz w:val="22"/>
          <w:szCs w:val="22"/>
          <w:lang w:val="en-GB"/>
        </w:rPr>
      </w:pPr>
      <w:r w:rsidRPr="00EA0207">
        <w:rPr>
          <w:sz w:val="22"/>
          <w:szCs w:val="22"/>
          <w:lang w:val="en-GB"/>
        </w:rPr>
        <w:t>Cervical Cancer Elimination Day (November 17)</w:t>
      </w:r>
    </w:p>
    <w:p w14:paraId="7B9444D6" w14:textId="77777777" w:rsidR="00EA0207" w:rsidRPr="00EA0207" w:rsidRDefault="00EA0207" w:rsidP="00EA0207">
      <w:pPr>
        <w:numPr>
          <w:ilvl w:val="0"/>
          <w:numId w:val="14"/>
        </w:numPr>
        <w:spacing w:after="0" w:line="276" w:lineRule="auto"/>
        <w:rPr>
          <w:sz w:val="22"/>
          <w:szCs w:val="22"/>
          <w:lang w:val="en-GB"/>
        </w:rPr>
      </w:pPr>
      <w:r w:rsidRPr="00EA0207">
        <w:rPr>
          <w:sz w:val="22"/>
          <w:szCs w:val="22"/>
          <w:lang w:val="en-GB"/>
        </w:rPr>
        <w:t>Antimicrobial Awareness Day (AMR) (November 18)</w:t>
      </w:r>
    </w:p>
    <w:p w14:paraId="0221C174" w14:textId="77777777" w:rsidR="00EA0207" w:rsidRPr="00EA0207" w:rsidRDefault="00EA0207" w:rsidP="00EA0207">
      <w:pPr>
        <w:spacing w:after="0" w:line="276" w:lineRule="auto"/>
        <w:ind w:left="720"/>
        <w:rPr>
          <w:b/>
          <w:sz w:val="22"/>
          <w:szCs w:val="22"/>
          <w:lang w:val="en-GB"/>
        </w:rPr>
      </w:pPr>
    </w:p>
    <w:p w14:paraId="620759B9" w14:textId="77777777" w:rsidR="00EA0207" w:rsidRDefault="00EA0207" w:rsidP="00EA0207">
      <w:pPr>
        <w:spacing w:after="0" w:line="276" w:lineRule="auto"/>
        <w:rPr>
          <w:sz w:val="22"/>
          <w:szCs w:val="22"/>
        </w:rPr>
      </w:pPr>
    </w:p>
    <w:p w14:paraId="1098D078" w14:textId="7D0A3BC8" w:rsidR="00C43138" w:rsidRDefault="0026386A" w:rsidP="00C43138">
      <w:pPr>
        <w:spacing w:after="0" w:line="276" w:lineRule="auto"/>
        <w:rPr>
          <w:sz w:val="22"/>
          <w:szCs w:val="22"/>
        </w:rPr>
      </w:pPr>
      <w:r w:rsidRPr="0026386A">
        <w:rPr>
          <w:sz w:val="22"/>
          <w:szCs w:val="22"/>
        </w:rPr>
        <w:t>Through strategic</w:t>
      </w:r>
      <w:r>
        <w:rPr>
          <w:sz w:val="22"/>
          <w:szCs w:val="22"/>
        </w:rPr>
        <w:t>,</w:t>
      </w:r>
      <w:r w:rsidRPr="0026386A">
        <w:rPr>
          <w:sz w:val="22"/>
          <w:szCs w:val="22"/>
        </w:rPr>
        <w:t xml:space="preserve"> evidence-based advocacy, and broad alliances, the EIWH continues to </w:t>
      </w:r>
      <w:r w:rsidRPr="0026386A">
        <w:rPr>
          <w:b/>
          <w:bCs/>
          <w:sz w:val="22"/>
          <w:szCs w:val="22"/>
        </w:rPr>
        <w:t>turn vision into action</w:t>
      </w:r>
      <w:r w:rsidRPr="0026386A">
        <w:rPr>
          <w:sz w:val="22"/>
          <w:szCs w:val="22"/>
        </w:rPr>
        <w:t xml:space="preserve"> — ensuring that women’s health becomes a central pillar of EU health policy. The organisation’s work in 2025 has laid a strong foundation for 2026 and beyond, marking a decisive step toward a </w:t>
      </w:r>
      <w:r w:rsidRPr="0026386A">
        <w:rPr>
          <w:b/>
          <w:bCs/>
          <w:sz w:val="22"/>
          <w:szCs w:val="22"/>
        </w:rPr>
        <w:t>comprehensive EU Women’s Health Strategy</w:t>
      </w:r>
      <w:r w:rsidRPr="0026386A">
        <w:rPr>
          <w:sz w:val="22"/>
          <w:szCs w:val="22"/>
        </w:rPr>
        <w:t xml:space="preserve"> that serves every woman and girl in Europe.</w:t>
      </w:r>
    </w:p>
    <w:p w14:paraId="4137A48C" w14:textId="77777777" w:rsidR="0026386A" w:rsidRDefault="0026386A" w:rsidP="00C43138">
      <w:pPr>
        <w:spacing w:after="0" w:line="276" w:lineRule="auto"/>
        <w:rPr>
          <w:sz w:val="22"/>
          <w:szCs w:val="22"/>
        </w:rPr>
      </w:pPr>
    </w:p>
    <w:p w14:paraId="3A9340E9" w14:textId="77777777" w:rsidR="0026386A" w:rsidRPr="00961423" w:rsidRDefault="0026386A" w:rsidP="0026386A">
      <w:pPr>
        <w:rPr>
          <w:sz w:val="22"/>
          <w:szCs w:val="22"/>
        </w:rPr>
      </w:pPr>
      <w:r w:rsidRPr="0026386A">
        <w:rPr>
          <w:b/>
          <w:bCs/>
          <w:sz w:val="22"/>
          <w:szCs w:val="22"/>
        </w:rPr>
        <w:t>The European Institute of Women’s Health (EIWH)</w:t>
      </w:r>
      <w:r w:rsidRPr="00961423">
        <w:rPr>
          <w:sz w:val="22"/>
          <w:szCs w:val="22"/>
        </w:rPr>
        <w:t xml:space="preserve"> is a non-governmental organisation dedicated to advancing the health and well-being of women and girls across Europe. EIWH has worked to ensure that sex and gender are systematically integrated into health policy, research, regulation, and practice at both European and national levels. Acting as a bridge between policymakers, researchers, healthcare professionals, and civil society, EIWH brings women’s voices and lived experiences directly into the heart of decision-making. The organisation is recognised as a trusted expert body in EU health debates, advocating for equity, inclusiveness, and a life-course approach to health that benefits not only women, but </w:t>
      </w:r>
      <w:proofErr w:type="gramStart"/>
      <w:r w:rsidRPr="00961423">
        <w:rPr>
          <w:sz w:val="22"/>
          <w:szCs w:val="22"/>
        </w:rPr>
        <w:t>society as a whole</w:t>
      </w:r>
      <w:proofErr w:type="gramEnd"/>
      <w:r w:rsidRPr="00961423">
        <w:rPr>
          <w:sz w:val="22"/>
          <w:szCs w:val="22"/>
        </w:rPr>
        <w:t>.</w:t>
      </w:r>
    </w:p>
    <w:p w14:paraId="1E2989AC" w14:textId="77777777" w:rsidR="0026386A" w:rsidRPr="00C43138" w:rsidRDefault="0026386A" w:rsidP="00C43138">
      <w:pPr>
        <w:spacing w:after="0" w:line="276" w:lineRule="auto"/>
        <w:rPr>
          <w:sz w:val="22"/>
          <w:szCs w:val="22"/>
        </w:rPr>
      </w:pPr>
    </w:p>
    <w:p w14:paraId="34139762" w14:textId="5B4F2698" w:rsidR="00C43138" w:rsidRPr="00C43138" w:rsidRDefault="00C43138" w:rsidP="00C43138">
      <w:pPr>
        <w:spacing w:after="0" w:line="276" w:lineRule="auto"/>
        <w:ind w:left="720"/>
        <w:rPr>
          <w:sz w:val="22"/>
          <w:szCs w:val="22"/>
        </w:rPr>
      </w:pPr>
    </w:p>
    <w:p w14:paraId="28CADA5B" w14:textId="77777777" w:rsidR="00E154F2" w:rsidRPr="00961423" w:rsidRDefault="00E154F2" w:rsidP="00E154F2">
      <w:pPr>
        <w:rPr>
          <w:sz w:val="22"/>
          <w:szCs w:val="22"/>
          <w:lang w:val="en-GB"/>
        </w:rPr>
      </w:pPr>
    </w:p>
    <w:p w14:paraId="09279D4B" w14:textId="539D5790" w:rsidR="00E154F2" w:rsidRPr="00961423" w:rsidRDefault="00E154F2" w:rsidP="00E154F2">
      <w:pPr>
        <w:jc w:val="center"/>
        <w:rPr>
          <w:sz w:val="22"/>
          <w:szCs w:val="22"/>
          <w:lang w:val="en-GB"/>
        </w:rPr>
      </w:pPr>
    </w:p>
    <w:p w14:paraId="4FC9FD9E" w14:textId="77777777" w:rsidR="00E154F2" w:rsidRPr="00961423" w:rsidRDefault="00E154F2" w:rsidP="00E154F2">
      <w:pPr>
        <w:rPr>
          <w:sz w:val="22"/>
          <w:szCs w:val="22"/>
          <w:lang w:val="en-GB"/>
        </w:rPr>
      </w:pPr>
    </w:p>
    <w:p w14:paraId="3ABF903A" w14:textId="77777777" w:rsidR="00E154F2" w:rsidRPr="00961423" w:rsidRDefault="00E154F2" w:rsidP="00E154F2">
      <w:pPr>
        <w:rPr>
          <w:sz w:val="22"/>
          <w:szCs w:val="22"/>
        </w:rPr>
      </w:pPr>
    </w:p>
    <w:p w14:paraId="30043772" w14:textId="77777777" w:rsidR="00FB4217" w:rsidRPr="00961423" w:rsidRDefault="00FB4217">
      <w:pPr>
        <w:rPr>
          <w:sz w:val="22"/>
          <w:szCs w:val="22"/>
        </w:rPr>
      </w:pPr>
    </w:p>
    <w:sectPr w:rsidR="00FB4217" w:rsidRPr="00961423">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3F7D6" w14:textId="77777777" w:rsidR="00C51AAB" w:rsidRDefault="00C51AAB" w:rsidP="00961423">
      <w:pPr>
        <w:spacing w:after="0" w:line="240" w:lineRule="auto"/>
      </w:pPr>
      <w:r>
        <w:separator/>
      </w:r>
    </w:p>
  </w:endnote>
  <w:endnote w:type="continuationSeparator" w:id="0">
    <w:p w14:paraId="09AF1BB1" w14:textId="77777777" w:rsidR="00C51AAB" w:rsidRDefault="00C51AAB" w:rsidP="0096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4B9B" w14:textId="77777777" w:rsidR="00922928" w:rsidRDefault="00922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619933"/>
      <w:docPartObj>
        <w:docPartGallery w:val="Page Numbers (Bottom of Page)"/>
        <w:docPartUnique/>
      </w:docPartObj>
    </w:sdtPr>
    <w:sdtContent>
      <w:p w14:paraId="55C7352D" w14:textId="67F7D8A3" w:rsidR="00922928" w:rsidRDefault="00922928">
        <w:pPr>
          <w:pStyle w:val="Footer"/>
          <w:jc w:val="center"/>
        </w:pPr>
        <w:r>
          <w:fldChar w:fldCharType="begin"/>
        </w:r>
        <w:r>
          <w:instrText>PAGE   \* MERGEFORMAT</w:instrText>
        </w:r>
        <w:r>
          <w:fldChar w:fldCharType="separate"/>
        </w:r>
        <w:r>
          <w:rPr>
            <w:lang w:val="en-GB"/>
          </w:rPr>
          <w:t>2</w:t>
        </w:r>
        <w:r>
          <w:fldChar w:fldCharType="end"/>
        </w:r>
      </w:p>
    </w:sdtContent>
  </w:sdt>
  <w:p w14:paraId="6ED246ED" w14:textId="77777777" w:rsidR="00922928" w:rsidRDefault="00922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C1A9" w14:textId="77777777" w:rsidR="00922928" w:rsidRDefault="00922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405D" w14:textId="77777777" w:rsidR="00C51AAB" w:rsidRDefault="00C51AAB" w:rsidP="00961423">
      <w:pPr>
        <w:spacing w:after="0" w:line="240" w:lineRule="auto"/>
      </w:pPr>
      <w:r>
        <w:separator/>
      </w:r>
    </w:p>
  </w:footnote>
  <w:footnote w:type="continuationSeparator" w:id="0">
    <w:p w14:paraId="191E47B1" w14:textId="77777777" w:rsidR="00C51AAB" w:rsidRDefault="00C51AAB" w:rsidP="00961423">
      <w:pPr>
        <w:spacing w:after="0" w:line="240" w:lineRule="auto"/>
      </w:pPr>
      <w:r>
        <w:continuationSeparator/>
      </w:r>
    </w:p>
  </w:footnote>
  <w:footnote w:id="1">
    <w:p w14:paraId="606FD75D" w14:textId="77777777" w:rsidR="00961423" w:rsidRPr="006F5A4A" w:rsidRDefault="00961423" w:rsidP="00961423">
      <w:pPr>
        <w:pStyle w:val="FootnoteText"/>
        <w:rPr>
          <w:sz w:val="16"/>
          <w:szCs w:val="16"/>
          <w:lang w:val="en-GB"/>
        </w:rPr>
      </w:pPr>
      <w:r>
        <w:rPr>
          <w:rStyle w:val="FootnoteReference"/>
        </w:rPr>
        <w:footnoteRef/>
      </w:r>
      <w:r>
        <w:t xml:space="preserve"> </w:t>
      </w:r>
      <w:r w:rsidRPr="006F5A4A">
        <w:rPr>
          <w:sz w:val="16"/>
          <w:szCs w:val="16"/>
        </w:rPr>
        <w:t xml:space="preserve">The Roadmap will serve as a compass to answer the EIWH’s EU Women’s Health Strategy priorities: freedom from gender-based violence, the highest standards of health (including  women's access to sexual and reproductive health and rights in full respect of the Treaties, and promotion of gender-sensitive medical research, clinical trials, diagnostics and treatments), equal pay and economic empowerment, work-life balance and care, equal employment opportunities and adequate working conditions, such as by eradicating the gender employment gap, eliminating sexual harassment in the world of work, quality and inclusive education, political participation and equal representation, </w:t>
      </w:r>
      <w:r>
        <w:rPr>
          <w:sz w:val="16"/>
          <w:szCs w:val="16"/>
        </w:rPr>
        <w:t>i</w:t>
      </w:r>
      <w:r w:rsidRPr="006F5A4A">
        <w:rPr>
          <w:sz w:val="16"/>
          <w:szCs w:val="16"/>
        </w:rPr>
        <w:t>nstitutional mechanisms that deliver on women's rights.</w:t>
      </w:r>
      <w:r>
        <w:rPr>
          <w:sz w:val="16"/>
          <w:szCs w:val="16"/>
        </w:rPr>
        <w:t xml:space="preserve"> </w:t>
      </w:r>
      <w:r w:rsidRPr="00C63B1C">
        <w:rPr>
          <w:sz w:val="16"/>
          <w:szCs w:val="16"/>
          <w:lang w:val="en-GB"/>
        </w:rPr>
        <w:t>https://ec.europa.eu/commission/presscorner/detail/en/ip_25_681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165C" w14:textId="77777777" w:rsidR="00922928" w:rsidRDefault="00922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9F5E" w14:textId="77777777" w:rsidR="00922928" w:rsidRDefault="00922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99ECF" w14:textId="77777777" w:rsidR="00922928" w:rsidRDefault="00922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233"/>
    <w:multiLevelType w:val="multilevel"/>
    <w:tmpl w:val="DE18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82448"/>
    <w:multiLevelType w:val="multilevel"/>
    <w:tmpl w:val="16D8D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0A1B0A"/>
    <w:multiLevelType w:val="hybridMultilevel"/>
    <w:tmpl w:val="168ECF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1954481"/>
    <w:multiLevelType w:val="hybridMultilevel"/>
    <w:tmpl w:val="A5E6EB0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480E754C"/>
    <w:multiLevelType w:val="multilevel"/>
    <w:tmpl w:val="708A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2C47D8"/>
    <w:multiLevelType w:val="multilevel"/>
    <w:tmpl w:val="C0B802D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DCF533B"/>
    <w:multiLevelType w:val="multilevel"/>
    <w:tmpl w:val="72140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5015C3E"/>
    <w:multiLevelType w:val="multilevel"/>
    <w:tmpl w:val="1D50EA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AEB2E63"/>
    <w:multiLevelType w:val="hybridMultilevel"/>
    <w:tmpl w:val="9606E70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551B17"/>
    <w:multiLevelType w:val="multilevel"/>
    <w:tmpl w:val="F572CD4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66E649A2"/>
    <w:multiLevelType w:val="multilevel"/>
    <w:tmpl w:val="3440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2775E6"/>
    <w:multiLevelType w:val="hybridMultilevel"/>
    <w:tmpl w:val="7B865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4F22C5D"/>
    <w:multiLevelType w:val="multilevel"/>
    <w:tmpl w:val="7274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8D0733"/>
    <w:multiLevelType w:val="hybridMultilevel"/>
    <w:tmpl w:val="B9F450DE"/>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270117">
    <w:abstractNumId w:val="10"/>
  </w:num>
  <w:num w:numId="2" w16cid:durableId="648362639">
    <w:abstractNumId w:val="1"/>
  </w:num>
  <w:num w:numId="3" w16cid:durableId="1416197891">
    <w:abstractNumId w:val="4"/>
  </w:num>
  <w:num w:numId="4" w16cid:durableId="430511765">
    <w:abstractNumId w:val="12"/>
  </w:num>
  <w:num w:numId="5" w16cid:durableId="1802503638">
    <w:abstractNumId w:val="0"/>
  </w:num>
  <w:num w:numId="6" w16cid:durableId="413014897">
    <w:abstractNumId w:val="11"/>
  </w:num>
  <w:num w:numId="7" w16cid:durableId="2028025040">
    <w:abstractNumId w:val="3"/>
  </w:num>
  <w:num w:numId="8" w16cid:durableId="1696031769">
    <w:abstractNumId w:val="8"/>
  </w:num>
  <w:num w:numId="9" w16cid:durableId="1701393177">
    <w:abstractNumId w:val="13"/>
  </w:num>
  <w:num w:numId="10" w16cid:durableId="133984417">
    <w:abstractNumId w:val="6"/>
  </w:num>
  <w:num w:numId="11" w16cid:durableId="1331062372">
    <w:abstractNumId w:val="7"/>
  </w:num>
  <w:num w:numId="12" w16cid:durableId="1128202626">
    <w:abstractNumId w:val="9"/>
  </w:num>
  <w:num w:numId="13" w16cid:durableId="1128670482">
    <w:abstractNumId w:val="5"/>
  </w:num>
  <w:num w:numId="14" w16cid:durableId="39192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17"/>
    <w:rsid w:val="00024D47"/>
    <w:rsid w:val="00025C80"/>
    <w:rsid w:val="00086ED6"/>
    <w:rsid w:val="00155269"/>
    <w:rsid w:val="002009FA"/>
    <w:rsid w:val="00201B16"/>
    <w:rsid w:val="00207440"/>
    <w:rsid w:val="0026386A"/>
    <w:rsid w:val="00343503"/>
    <w:rsid w:val="003B4B12"/>
    <w:rsid w:val="003D42FA"/>
    <w:rsid w:val="003E16D1"/>
    <w:rsid w:val="00424899"/>
    <w:rsid w:val="00486ABD"/>
    <w:rsid w:val="0050652F"/>
    <w:rsid w:val="00540E85"/>
    <w:rsid w:val="005B7825"/>
    <w:rsid w:val="005F790D"/>
    <w:rsid w:val="0060443F"/>
    <w:rsid w:val="00681959"/>
    <w:rsid w:val="0069313A"/>
    <w:rsid w:val="007071B9"/>
    <w:rsid w:val="00720457"/>
    <w:rsid w:val="0072708C"/>
    <w:rsid w:val="0078254A"/>
    <w:rsid w:val="007E5092"/>
    <w:rsid w:val="007E7485"/>
    <w:rsid w:val="00896CB3"/>
    <w:rsid w:val="00922928"/>
    <w:rsid w:val="0092665A"/>
    <w:rsid w:val="00961423"/>
    <w:rsid w:val="009E1054"/>
    <w:rsid w:val="009E48A1"/>
    <w:rsid w:val="00A31EDB"/>
    <w:rsid w:val="00AA374E"/>
    <w:rsid w:val="00B549F9"/>
    <w:rsid w:val="00BC32AE"/>
    <w:rsid w:val="00C43138"/>
    <w:rsid w:val="00C51AAB"/>
    <w:rsid w:val="00C876D0"/>
    <w:rsid w:val="00D25723"/>
    <w:rsid w:val="00DA46D8"/>
    <w:rsid w:val="00DE4011"/>
    <w:rsid w:val="00E10DB9"/>
    <w:rsid w:val="00E154F2"/>
    <w:rsid w:val="00E42D8F"/>
    <w:rsid w:val="00EA0207"/>
    <w:rsid w:val="00F12B59"/>
    <w:rsid w:val="00FB42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8C4F"/>
  <w15:chartTrackingRefBased/>
  <w15:docId w15:val="{57D2C0D5-30C3-48FB-87DC-9EF9A3A0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217"/>
    <w:rPr>
      <w:rFonts w:eastAsiaTheme="majorEastAsia" w:cstheme="majorBidi"/>
      <w:color w:val="272727" w:themeColor="text1" w:themeTint="D8"/>
    </w:rPr>
  </w:style>
  <w:style w:type="paragraph" w:styleId="Title">
    <w:name w:val="Title"/>
    <w:basedOn w:val="Normal"/>
    <w:next w:val="Normal"/>
    <w:link w:val="TitleChar"/>
    <w:uiPriority w:val="10"/>
    <w:qFormat/>
    <w:rsid w:val="00FB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217"/>
    <w:pPr>
      <w:spacing w:before="160"/>
      <w:jc w:val="center"/>
    </w:pPr>
    <w:rPr>
      <w:i/>
      <w:iCs/>
      <w:color w:val="404040" w:themeColor="text1" w:themeTint="BF"/>
    </w:rPr>
  </w:style>
  <w:style w:type="character" w:customStyle="1" w:styleId="QuoteChar">
    <w:name w:val="Quote Char"/>
    <w:basedOn w:val="DefaultParagraphFont"/>
    <w:link w:val="Quote"/>
    <w:uiPriority w:val="29"/>
    <w:rsid w:val="00FB4217"/>
    <w:rPr>
      <w:i/>
      <w:iCs/>
      <w:color w:val="404040" w:themeColor="text1" w:themeTint="BF"/>
    </w:rPr>
  </w:style>
  <w:style w:type="paragraph" w:styleId="ListParagraph">
    <w:name w:val="List Paragraph"/>
    <w:basedOn w:val="Normal"/>
    <w:uiPriority w:val="34"/>
    <w:qFormat/>
    <w:rsid w:val="00FB4217"/>
    <w:pPr>
      <w:ind w:left="720"/>
      <w:contextualSpacing/>
    </w:pPr>
  </w:style>
  <w:style w:type="character" w:styleId="IntenseEmphasis">
    <w:name w:val="Intense Emphasis"/>
    <w:basedOn w:val="DefaultParagraphFont"/>
    <w:uiPriority w:val="21"/>
    <w:qFormat/>
    <w:rsid w:val="00FB4217"/>
    <w:rPr>
      <w:i/>
      <w:iCs/>
      <w:color w:val="0F4761" w:themeColor="accent1" w:themeShade="BF"/>
    </w:rPr>
  </w:style>
  <w:style w:type="paragraph" w:styleId="IntenseQuote">
    <w:name w:val="Intense Quote"/>
    <w:basedOn w:val="Normal"/>
    <w:next w:val="Normal"/>
    <w:link w:val="IntenseQuoteChar"/>
    <w:uiPriority w:val="30"/>
    <w:qFormat/>
    <w:rsid w:val="00FB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217"/>
    <w:rPr>
      <w:i/>
      <w:iCs/>
      <w:color w:val="0F4761" w:themeColor="accent1" w:themeShade="BF"/>
    </w:rPr>
  </w:style>
  <w:style w:type="character" w:styleId="IntenseReference">
    <w:name w:val="Intense Reference"/>
    <w:basedOn w:val="DefaultParagraphFont"/>
    <w:uiPriority w:val="32"/>
    <w:qFormat/>
    <w:rsid w:val="00FB4217"/>
    <w:rPr>
      <w:b/>
      <w:bCs/>
      <w:smallCaps/>
      <w:color w:val="0F4761" w:themeColor="accent1" w:themeShade="BF"/>
      <w:spacing w:val="5"/>
    </w:rPr>
  </w:style>
  <w:style w:type="table" w:styleId="TableGrid">
    <w:name w:val="Table Grid"/>
    <w:basedOn w:val="TableNormal"/>
    <w:uiPriority w:val="39"/>
    <w:rsid w:val="0096142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61423"/>
    <w:pPr>
      <w:widowControl w:val="0"/>
      <w:autoSpaceDE w:val="0"/>
      <w:autoSpaceDN w:val="0"/>
      <w:spacing w:after="0" w:line="240" w:lineRule="auto"/>
    </w:pPr>
    <w:rPr>
      <w:rFonts w:ascii="Calibri" w:eastAsia="Calibri" w:hAnsi="Calibri" w:cs="Calibri"/>
      <w:kern w:val="0"/>
      <w:sz w:val="20"/>
      <w:szCs w:val="20"/>
      <w:lang w:val="en-US"/>
      <w14:ligatures w14:val="none"/>
    </w:rPr>
  </w:style>
  <w:style w:type="character" w:customStyle="1" w:styleId="FootnoteTextChar">
    <w:name w:val="Footnote Text Char"/>
    <w:basedOn w:val="DefaultParagraphFont"/>
    <w:link w:val="FootnoteText"/>
    <w:uiPriority w:val="99"/>
    <w:rsid w:val="00961423"/>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961423"/>
    <w:rPr>
      <w:vertAlign w:val="superscript"/>
    </w:rPr>
  </w:style>
  <w:style w:type="character" w:styleId="Hyperlink">
    <w:name w:val="Hyperlink"/>
    <w:basedOn w:val="DefaultParagraphFont"/>
    <w:uiPriority w:val="99"/>
    <w:unhideWhenUsed/>
    <w:rsid w:val="00961423"/>
    <w:rPr>
      <w:color w:val="467886" w:themeColor="hyperlink"/>
      <w:u w:val="single"/>
    </w:rPr>
  </w:style>
  <w:style w:type="paragraph" w:styleId="Header">
    <w:name w:val="header"/>
    <w:basedOn w:val="Normal"/>
    <w:link w:val="HeaderChar"/>
    <w:uiPriority w:val="99"/>
    <w:unhideWhenUsed/>
    <w:rsid w:val="00922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928"/>
  </w:style>
  <w:style w:type="paragraph" w:styleId="Footer">
    <w:name w:val="footer"/>
    <w:basedOn w:val="Normal"/>
    <w:link w:val="FooterChar"/>
    <w:uiPriority w:val="99"/>
    <w:unhideWhenUsed/>
    <w:rsid w:val="00922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document/download/0c3fe55d-9e4f-4377-9d14-93d03398b434_en?filename=Gender%20Equality%20Report%20Chapeau%20Communication.pdf" TargetMode="External"/><Relationship Id="rId13" Type="http://schemas.openxmlformats.org/officeDocument/2006/relationships/hyperlink" Target="https://www.ema.europa.eu/en/partners-networks/patients-consumers/eligible-patients-consumers-organisation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who.int/about/collaboration/civil-society-and-ngo-engagement/civil-society-commission" TargetMode="External"/><Relationship Id="rId23" Type="http://schemas.openxmlformats.org/officeDocument/2006/relationships/theme" Target="theme/theme1.xml"/><Relationship Id="rId10" Type="http://schemas.openxmlformats.org/officeDocument/2006/relationships/hyperlink" Target="https://commission.europa.eu/document/download/055fdbab-5786-425e-a072-652bf53d8fe4_en?filename=Gender%20Equality%20Report.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ommission.europa.eu/document/download/7d965089-e332-473a-88a9-e246f214e3bf_en?filename=Gender%20Equality%20Roadmap%20-%20Annex.pdf" TargetMode="External"/><Relationship Id="rId14" Type="http://schemas.openxmlformats.org/officeDocument/2006/relationships/hyperlink" Target="https://www.who.int/about/who-academy/about-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1282</Words>
  <Characters>7118</Characters>
  <Application>Microsoft Office Word</Application>
  <DocSecurity>0</DocSecurity>
  <Lines>273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 maguire</dc:creator>
  <cp:keywords/>
  <dc:description/>
  <cp:lastModifiedBy>peg maguire</cp:lastModifiedBy>
  <cp:revision>2</cp:revision>
  <dcterms:created xsi:type="dcterms:W3CDTF">2025-10-24T11:32:00Z</dcterms:created>
  <dcterms:modified xsi:type="dcterms:W3CDTF">2025-10-24T11:32:00Z</dcterms:modified>
</cp:coreProperties>
</file>